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212529"/>
        </w:rPr>
        <w:drawing>
          <wp:anchor simplePos="0" relativeHeight="251657728" behindDoc="1" locked="0" layoutInCell="0" allowOverlap="1">
            <wp:simplePos x="0" y="0"/>
            <wp:positionH relativeFrom="page">
              <wp:posOffset>201930</wp:posOffset>
            </wp:positionH>
            <wp:positionV relativeFrom="page">
              <wp:posOffset>646430</wp:posOffset>
            </wp:positionV>
            <wp:extent cx="714565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5655" cy="7620"/>
                    </a:xfrm>
                    <a:prstGeom prst="rect">
                      <a:avLst/>
                    </a:prstGeom>
                    <a:noFill/>
                  </pic:spPr>
                </pic:pic>
              </a:graphicData>
            </a:graphic>
          </wp:anchor>
        </w:drawing>
        <w:drawing>
          <wp:anchor simplePos="0" relativeHeight="251657728" behindDoc="1" locked="0" layoutInCell="0" allowOverlap="1">
            <wp:simplePos x="0" y="0"/>
            <wp:positionH relativeFrom="page">
              <wp:posOffset>201930</wp:posOffset>
            </wp:positionH>
            <wp:positionV relativeFrom="page">
              <wp:posOffset>669290</wp:posOffset>
            </wp:positionV>
            <wp:extent cx="714565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5655" cy="7620"/>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212529"/>
        </w:rPr>
        <w:t>WASHINGTON, D.C. 20549</w:t>
      </w:r>
    </w:p>
    <w:p>
      <w:pPr>
        <w:spacing w:after="0" w:line="1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color w:val="auto"/>
        </w:rPr>
        <w:t>_________________________________________</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12529"/>
        </w:rPr>
        <w:t>FORM 8-K/A</w:t>
      </w:r>
    </w:p>
    <w:p>
      <w:pPr>
        <w:spacing w:after="0" w:line="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color w:val="auto"/>
        </w:rPr>
        <w:t>_________________________________________</w:t>
      </w:r>
    </w:p>
    <w:p>
      <w:pPr>
        <w:spacing w:after="0" w:line="113"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6"/>
          <w:szCs w:val="16"/>
          <w:b w:val="1"/>
          <w:bCs w:val="1"/>
          <w:color w:val="212529"/>
        </w:rPr>
        <w:t>CURRENT REPORT</w:t>
      </w:r>
    </w:p>
    <w:p>
      <w:pPr>
        <w:spacing w:after="0" w:line="10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6"/>
          <w:szCs w:val="16"/>
          <w:b w:val="1"/>
          <w:bCs w:val="1"/>
          <w:color w:val="212529"/>
        </w:rPr>
        <w:t>Pursuant to Section 13 or 15(d)</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212529"/>
        </w:rPr>
        <w:t>of the Securities Exchange Act of 1934</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212529"/>
        </w:rPr>
        <w:t>Date of Report (Date of earliest event reported):</w:t>
      </w:r>
      <w:r>
        <w:rPr>
          <w:rFonts w:ascii="Times New Roman" w:cs="Times New Roman" w:eastAsia="Times New Roman" w:hAnsi="Times New Roman"/>
          <w:sz w:val="16"/>
          <w:szCs w:val="16"/>
          <w:b w:val="1"/>
          <w:bCs w:val="1"/>
          <w:color w:val="212529"/>
        </w:rPr>
        <w:t>October 22, 2024</w:t>
      </w:r>
      <w:r>
        <w:rPr>
          <w:rFonts w:ascii="Times New Roman" w:cs="Times New Roman" w:eastAsia="Times New Roman" w:hAnsi="Times New Roman"/>
          <w:sz w:val="16"/>
          <w:szCs w:val="16"/>
          <w:color w:val="212529"/>
        </w:rPr>
        <w:t xml:space="preserve"> (August 6, 2024)</w:t>
      </w:r>
    </w:p>
    <w:p>
      <w:pPr>
        <w:spacing w:after="0" w:line="29"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color w:val="auto"/>
        </w:rPr>
        <w:t>_________________________________________</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SOUNDHOUND AI, INC.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212529"/>
        </w:rPr>
        <w:t>(Exact name of registrant as specified in its charter)</w:t>
      </w:r>
    </w:p>
    <w:p>
      <w:pPr>
        <w:spacing w:after="0" w:line="9"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color w:val="auto"/>
        </w:rPr>
        <w:t>_________________________________________</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560" w:type="dxa"/>
            <w:vAlign w:val="bottom"/>
            <w:gridSpan w:val="3"/>
          </w:tcPr>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920" w:type="dxa"/>
            <w:vAlign w:val="bottom"/>
            <w:gridSpan w:val="3"/>
          </w:tcPr>
          <w:p>
            <w:pPr>
              <w:jc w:val="center"/>
              <w:ind w:right="780"/>
              <w:spacing w:after="0"/>
              <w:rPr>
                <w:sz w:val="20"/>
                <w:szCs w:val="20"/>
                <w:color w:val="auto"/>
              </w:rPr>
            </w:pPr>
            <w:r>
              <w:rPr>
                <w:rFonts w:ascii="Times New Roman" w:cs="Times New Roman" w:eastAsia="Times New Roman" w:hAnsi="Times New Roman"/>
                <w:sz w:val="16"/>
                <w:szCs w:val="16"/>
                <w:b w:val="1"/>
                <w:bCs w:val="1"/>
                <w:color w:val="auto"/>
              </w:rPr>
              <w:t>001-40193</w:t>
            </w:r>
          </w:p>
        </w:tc>
        <w:tc>
          <w:tcPr>
            <w:tcW w:w="8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85-1286799</w:t>
            </w:r>
          </w:p>
        </w:tc>
      </w:tr>
      <w:tr>
        <w:trPr>
          <w:trHeight w:val="159"/>
        </w:trPr>
        <w:tc>
          <w:tcPr>
            <w:tcW w:w="3700" w:type="dxa"/>
            <w:vAlign w:val="bottom"/>
            <w:tcBorders>
              <w:top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color w:val="auto"/>
              </w:rPr>
              <w:t>(State or other jurisdiction</w:t>
            </w: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920" w:type="dxa"/>
            <w:vAlign w:val="bottom"/>
            <w:tcBorders>
              <w:top w:val="single" w:sz="8" w:color="auto"/>
            </w:tcBorders>
            <w:gridSpan w:val="3"/>
          </w:tcPr>
          <w:p>
            <w:pPr>
              <w:jc w:val="center"/>
              <w:ind w:right="800"/>
              <w:spacing w:after="0" w:line="159" w:lineRule="exact"/>
              <w:rPr>
                <w:sz w:val="20"/>
                <w:szCs w:val="20"/>
                <w:color w:val="auto"/>
              </w:rPr>
            </w:pPr>
            <w:r>
              <w:rPr>
                <w:rFonts w:ascii="Times New Roman" w:cs="Times New Roman" w:eastAsia="Times New Roman" w:hAnsi="Times New Roman"/>
                <w:sz w:val="16"/>
                <w:szCs w:val="16"/>
                <w:color w:val="auto"/>
              </w:rPr>
              <w:t>(Commission File</w:t>
            </w:r>
          </w:p>
        </w:tc>
        <w:tc>
          <w:tcPr>
            <w:tcW w:w="80" w:type="dxa"/>
            <w:vAlign w:val="bottom"/>
          </w:tcPr>
          <w:p>
            <w:pPr>
              <w:spacing w:after="0"/>
              <w:rPr>
                <w:sz w:val="13"/>
                <w:szCs w:val="13"/>
                <w:color w:val="auto"/>
              </w:rPr>
            </w:pPr>
          </w:p>
        </w:tc>
        <w:tc>
          <w:tcPr>
            <w:tcW w:w="3700" w:type="dxa"/>
            <w:vAlign w:val="bottom"/>
            <w:tcBorders>
              <w:top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color w:val="auto"/>
              </w:rPr>
              <w:t>(I.R.S. Employer</w:t>
            </w:r>
          </w:p>
        </w:tc>
      </w:tr>
      <w:tr>
        <w:trPr>
          <w:trHeight w:val="211"/>
        </w:trPr>
        <w:tc>
          <w:tcPr>
            <w:tcW w:w="4560" w:type="dxa"/>
            <w:vAlign w:val="bottom"/>
            <w:gridSpan w:val="3"/>
          </w:tcPr>
          <w:p>
            <w:pPr>
              <w:jc w:val="center"/>
              <w:ind w:right="860"/>
              <w:spacing w:after="0"/>
              <w:rPr>
                <w:sz w:val="20"/>
                <w:szCs w:val="20"/>
                <w:color w:val="auto"/>
              </w:rPr>
            </w:pPr>
            <w:r>
              <w:rPr>
                <w:rFonts w:ascii="Times New Roman" w:cs="Times New Roman" w:eastAsia="Times New Roman" w:hAnsi="Times New Roman"/>
                <w:sz w:val="16"/>
                <w:szCs w:val="16"/>
                <w:color w:val="auto"/>
              </w:rPr>
              <w:t>of incorporation)</w:t>
            </w:r>
          </w:p>
        </w:tc>
        <w:tc>
          <w:tcPr>
            <w:tcW w:w="3000" w:type="dxa"/>
            <w:vAlign w:val="bottom"/>
            <w:gridSpan w:val="4"/>
          </w:tcPr>
          <w:p>
            <w:pPr>
              <w:jc w:val="center"/>
              <w:ind w:right="860"/>
              <w:spacing w:after="0"/>
              <w:rPr>
                <w:sz w:val="20"/>
                <w:szCs w:val="20"/>
                <w:color w:val="auto"/>
              </w:rPr>
            </w:pPr>
            <w:r>
              <w:rPr>
                <w:rFonts w:ascii="Times New Roman" w:cs="Times New Roman" w:eastAsia="Times New Roman" w:hAnsi="Times New Roman"/>
                <w:sz w:val="16"/>
                <w:szCs w:val="16"/>
                <w:color w:val="auto"/>
              </w:rPr>
              <w:t>Number)</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67"/>
        </w:trPr>
        <w:tc>
          <w:tcPr>
            <w:tcW w:w="4560" w:type="dxa"/>
            <w:vAlign w:val="bottom"/>
            <w:gridSpan w:val="3"/>
          </w:tcPr>
          <w:p>
            <w:pPr>
              <w:jc w:val="center"/>
              <w:ind w:left="939"/>
              <w:spacing w:after="0"/>
              <w:rPr>
                <w:sz w:val="20"/>
                <w:szCs w:val="20"/>
                <w:color w:val="auto"/>
              </w:rPr>
            </w:pPr>
            <w:r>
              <w:rPr>
                <w:rFonts w:ascii="Times New Roman" w:cs="Times New Roman" w:eastAsia="Times New Roman" w:hAnsi="Times New Roman"/>
                <w:sz w:val="16"/>
                <w:szCs w:val="16"/>
                <w:b w:val="1"/>
                <w:bCs w:val="1"/>
                <w:color w:val="auto"/>
              </w:rPr>
              <w:t>5400 Betsy Ross Drive</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19"/>
        </w:trPr>
        <w:tc>
          <w:tcPr>
            <w:tcW w:w="4560" w:type="dxa"/>
            <w:vAlign w:val="bottom"/>
            <w:tcBorders>
              <w:bottom w:val="single" w:sz="8" w:color="auto"/>
            </w:tcBorders>
            <w:gridSpan w:val="3"/>
          </w:tcPr>
          <w:p>
            <w:pPr>
              <w:jc w:val="center"/>
              <w:ind w:left="939"/>
              <w:spacing w:after="0"/>
              <w:rPr>
                <w:sz w:val="20"/>
                <w:szCs w:val="20"/>
                <w:color w:val="auto"/>
              </w:rPr>
            </w:pPr>
            <w:r>
              <w:rPr>
                <w:rFonts w:ascii="Times New Roman" w:cs="Times New Roman" w:eastAsia="Times New Roman" w:hAnsi="Times New Roman"/>
                <w:sz w:val="16"/>
                <w:szCs w:val="16"/>
                <w:b w:val="1"/>
                <w:bCs w:val="1"/>
                <w:color w:val="auto"/>
              </w:rPr>
              <w:t>Santa Clara, CA</w:t>
            </w: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jc w:val="right"/>
              <w:ind w:right="2519"/>
              <w:spacing w:after="0"/>
              <w:rPr>
                <w:sz w:val="20"/>
                <w:szCs w:val="20"/>
                <w:color w:val="auto"/>
              </w:rPr>
            </w:pPr>
            <w:r>
              <w:rPr>
                <w:rFonts w:ascii="Times New Roman" w:cs="Times New Roman" w:eastAsia="Times New Roman" w:hAnsi="Times New Roman"/>
                <w:sz w:val="16"/>
                <w:szCs w:val="16"/>
                <w:b w:val="1"/>
                <w:bCs w:val="1"/>
                <w:color w:val="auto"/>
              </w:rPr>
              <w:t>95054</w:t>
            </w:r>
          </w:p>
        </w:tc>
      </w:tr>
      <w:tr>
        <w:trPr>
          <w:trHeight w:val="203"/>
        </w:trPr>
        <w:tc>
          <w:tcPr>
            <w:tcW w:w="4560" w:type="dxa"/>
            <w:vAlign w:val="bottom"/>
            <w:gridSpan w:val="3"/>
          </w:tcPr>
          <w:p>
            <w:pPr>
              <w:jc w:val="center"/>
              <w:ind w:left="93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tcPr>
          <w:p>
            <w:pPr>
              <w:jc w:val="center"/>
              <w:ind w:right="181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212529"/>
        </w:rPr>
        <w:t>Registrant’s telephone number, including area code: (408) 441-3200</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212529"/>
        </w:rPr>
        <w:t>(Former name or former address, if changed since last report)</w:t>
      </w:r>
    </w:p>
    <w:p>
      <w:pPr>
        <w:spacing w:after="0" w:line="2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color w:val="auto"/>
        </w:rPr>
        <w:t>_________________________________________</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212529"/>
        </w:rPr>
        <w:t>Check the appropriate box below if the Form 8-K filing is intended to simultaneously satisfy the filing obligation of the registrant under any of the following provisions (see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212529"/>
        </w:rPr>
        <w:t>General Instruction A.2. below):</w:t>
      </w:r>
    </w:p>
    <w:p>
      <w:pPr>
        <w:spacing w:after="0" w:line="129" w:lineRule="exact"/>
        <w:rPr>
          <w:sz w:val="24"/>
          <w:szCs w:val="24"/>
          <w:color w:val="auto"/>
        </w:rPr>
      </w:pPr>
    </w:p>
    <w:p>
      <w:pPr>
        <w:ind w:left="340" w:hanging="326"/>
        <w:spacing w:after="0"/>
        <w:tabs>
          <w:tab w:leader="none" w:pos="34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06" w:lineRule="exact"/>
        <w:rPr>
          <w:rFonts w:ascii="Wingdings" w:cs="Wingdings" w:eastAsia="Wingdings" w:hAnsi="Wingdings"/>
          <w:sz w:val="16"/>
          <w:szCs w:val="16"/>
          <w:b w:val="1"/>
          <w:bCs w:val="1"/>
          <w:color w:val="auto"/>
        </w:rPr>
      </w:pPr>
    </w:p>
    <w:p>
      <w:pPr>
        <w:ind w:left="340" w:hanging="326"/>
        <w:spacing w:after="0"/>
        <w:tabs>
          <w:tab w:leader="none" w:pos="34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06" w:lineRule="exact"/>
        <w:rPr>
          <w:rFonts w:ascii="Wingdings" w:cs="Wingdings" w:eastAsia="Wingdings" w:hAnsi="Wingdings"/>
          <w:sz w:val="16"/>
          <w:szCs w:val="16"/>
          <w:b w:val="1"/>
          <w:bCs w:val="1"/>
          <w:color w:val="auto"/>
        </w:rPr>
      </w:pPr>
    </w:p>
    <w:p>
      <w:pPr>
        <w:ind w:left="340" w:hanging="326"/>
        <w:spacing w:after="0"/>
        <w:tabs>
          <w:tab w:leader="none" w:pos="34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06" w:lineRule="exact"/>
        <w:rPr>
          <w:rFonts w:ascii="Wingdings" w:cs="Wingdings" w:eastAsia="Wingdings" w:hAnsi="Wingdings"/>
          <w:sz w:val="16"/>
          <w:szCs w:val="16"/>
          <w:b w:val="1"/>
          <w:bCs w:val="1"/>
          <w:color w:val="auto"/>
        </w:rPr>
      </w:pPr>
    </w:p>
    <w:p>
      <w:pPr>
        <w:ind w:left="340" w:hanging="326"/>
        <w:spacing w:after="0"/>
        <w:tabs>
          <w:tab w:leader="none" w:pos="34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0"/>
        </w:trPr>
        <w:tc>
          <w:tcPr>
            <w:tcW w:w="4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Class A Common Stock, $0.0001 par value per share</w:t>
            </w:r>
          </w:p>
        </w:tc>
        <w:tc>
          <w:tcPr>
            <w:tcW w:w="10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SOUN</w:t>
            </w:r>
          </w:p>
        </w:tc>
        <w:tc>
          <w:tcPr>
            <w:tcW w:w="80" w:type="dxa"/>
            <w:vAlign w:val="bottom"/>
            <w:tcBorders>
              <w:top w:val="single" w:sz="8" w:color="CCEEFF"/>
            </w:tcBorders>
            <w:shd w:val="clear" w:color="auto" w:fill="CCEEFF"/>
          </w:tcPr>
          <w:p>
            <w:pPr>
              <w:spacing w:after="0"/>
              <w:rPr>
                <w:sz w:val="17"/>
                <w:szCs w:val="17"/>
                <w:color w:val="auto"/>
              </w:rPr>
            </w:pPr>
          </w:p>
        </w:tc>
        <w:tc>
          <w:tcPr>
            <w:tcW w:w="4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166"/>
        </w:trPr>
        <w:tc>
          <w:tcPr>
            <w:tcW w:w="4600" w:type="dxa"/>
            <w:vAlign w:val="bottom"/>
            <w:gridSpan w:val="2"/>
          </w:tcPr>
          <w:p>
            <w:pPr>
              <w:jc w:val="center"/>
              <w:ind w:right="80"/>
              <w:spacing w:after="0" w:line="167" w:lineRule="exact"/>
              <w:rPr>
                <w:sz w:val="20"/>
                <w:szCs w:val="20"/>
                <w:color w:val="auto"/>
              </w:rPr>
            </w:pPr>
            <w:r>
              <w:rPr>
                <w:rFonts w:ascii="Times New Roman" w:cs="Times New Roman" w:eastAsia="Times New Roman" w:hAnsi="Times New Roman"/>
                <w:sz w:val="16"/>
                <w:szCs w:val="16"/>
                <w:color w:val="auto"/>
              </w:rPr>
              <w:t>Warrants, each exercisable for one share of Class A Common Stock</w:t>
            </w:r>
          </w:p>
        </w:tc>
        <w:tc>
          <w:tcPr>
            <w:tcW w:w="2120" w:type="dxa"/>
            <w:vAlign w:val="bottom"/>
            <w:gridSpan w:val="2"/>
          </w:tcPr>
          <w:p>
            <w:pPr>
              <w:jc w:val="center"/>
              <w:ind w:right="80"/>
              <w:spacing w:after="0" w:line="167" w:lineRule="exact"/>
              <w:rPr>
                <w:sz w:val="20"/>
                <w:szCs w:val="20"/>
                <w:color w:val="auto"/>
              </w:rPr>
            </w:pPr>
            <w:r>
              <w:rPr>
                <w:rFonts w:ascii="Times New Roman" w:cs="Times New Roman" w:eastAsia="Times New Roman" w:hAnsi="Times New Roman"/>
                <w:sz w:val="16"/>
                <w:szCs w:val="16"/>
                <w:color w:val="auto"/>
              </w:rPr>
              <w:t>SOUNW</w:t>
            </w:r>
          </w:p>
        </w:tc>
        <w:tc>
          <w:tcPr>
            <w:tcW w:w="454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rPr>
              <w:t>The Nasdaq Stock Market LLC</w:t>
            </w:r>
          </w:p>
        </w:tc>
      </w:tr>
      <w:tr>
        <w:trPr>
          <w:trHeight w:val="211"/>
        </w:trPr>
        <w:tc>
          <w:tcPr>
            <w:tcW w:w="46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at an exercise price of $11.50 per share, subject to adjustment</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40" w:type="dxa"/>
            <w:vAlign w:val="bottom"/>
          </w:tcPr>
          <w:p>
            <w:pPr>
              <w:spacing w:after="0"/>
              <w:rPr>
                <w:sz w:val="18"/>
                <w:szCs w:val="18"/>
                <w:color w:val="auto"/>
              </w:rPr>
            </w:pPr>
          </w:p>
        </w:tc>
      </w:tr>
    </w:tbl>
    <w:p>
      <w:pPr>
        <w:spacing w:after="0" w:line="167" w:lineRule="exact"/>
        <w:rPr>
          <w:sz w:val="24"/>
          <w:szCs w:val="24"/>
          <w:color w:val="auto"/>
        </w:rPr>
      </w:pPr>
    </w:p>
    <w:p>
      <w:pPr>
        <w:ind w:right="60"/>
        <w:spacing w:after="0" w:line="289" w:lineRule="auto"/>
        <w:rPr>
          <w:sz w:val="20"/>
          <w:szCs w:val="20"/>
          <w:color w:val="auto"/>
        </w:rPr>
      </w:pPr>
      <w:r>
        <w:rPr>
          <w:rFonts w:ascii="Times New Roman" w:cs="Times New Roman" w:eastAsia="Times New Roman" w:hAnsi="Times New Roman"/>
          <w:sz w:val="16"/>
          <w:szCs w:val="16"/>
          <w:color w:val="212529"/>
        </w:rPr>
        <w:t>Indicate by check mark whether the registrant is an emerging growth company as defined in Rule 405 of the Securities Act of 1933 (§230.405 of this chapter) or Rule 12b-2 of the Securities Exchange Act of 1934 (§240.12b-2 of this chapter).</w:t>
      </w:r>
    </w:p>
    <w:p>
      <w:pPr>
        <w:spacing w:after="0" w:line="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212529"/>
        </w:rPr>
        <w:t xml:space="preserve">Emerging growth company </w:t>
      </w:r>
      <w:r>
        <w:rPr>
          <w:rFonts w:ascii="MS PGothic" w:cs="MS PGothic" w:eastAsia="MS PGothic" w:hAnsi="MS PGothic"/>
          <w:sz w:val="16"/>
          <w:szCs w:val="16"/>
          <w:color w:val="212529"/>
        </w:rPr>
        <w:t>☐</w:t>
      </w:r>
    </w:p>
    <w:p>
      <w:pPr>
        <w:spacing w:after="0" w:line="145" w:lineRule="exact"/>
        <w:rPr>
          <w:sz w:val="24"/>
          <w:szCs w:val="24"/>
          <w:color w:val="auto"/>
        </w:rPr>
      </w:pPr>
    </w:p>
    <w:p>
      <w:pPr>
        <w:ind w:right="20"/>
        <w:spacing w:after="0" w:line="289" w:lineRule="auto"/>
        <w:rPr>
          <w:sz w:val="20"/>
          <w:szCs w:val="20"/>
          <w:color w:val="auto"/>
        </w:rPr>
      </w:pPr>
      <w:r>
        <w:rPr>
          <w:rFonts w:ascii="Times New Roman" w:cs="Times New Roman" w:eastAsia="Times New Roman" w:hAnsi="Times New Roman"/>
          <w:sz w:val="16"/>
          <w:szCs w:val="16"/>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212529"/>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668655</wp:posOffset>
            </wp:positionV>
            <wp:extent cx="717105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1055" cy="4064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69850</wp:posOffset>
            </wp:positionV>
            <wp:extent cx="71456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5655"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92710</wp:posOffset>
            </wp:positionV>
            <wp:extent cx="71456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ectPr>
          <w:pgSz w:w="11900" w:h="16838" w:orient="portrait"/>
          <w:cols w:equalWidth="0" w:num="1">
            <w:col w:w="11260"/>
          </w:cols>
          <w:pgMar w:left="320" w:top="1224" w:right="319" w:bottom="1440" w:gutter="0" w:footer="0" w:header="0"/>
        </w:sectPr>
      </w:pPr>
    </w:p>
    <w:bookmarkStart w:id="1" w:name="page2"/>
    <w:bookmarkEnd w:id="1"/>
    <w:p>
      <w:pPr>
        <w:ind w:left="2"/>
        <w:spacing w:after="0"/>
        <w:tabs>
          <w:tab w:leader="none" w:pos="782" w:val="left"/>
        </w:tabs>
        <w:rPr>
          <w:sz w:val="20"/>
          <w:szCs w:val="20"/>
          <w:color w:val="auto"/>
        </w:rPr>
      </w:pPr>
      <w:r>
        <w:rPr>
          <w:rFonts w:ascii="Times New Roman" w:cs="Times New Roman" w:eastAsia="Times New Roman" w:hAnsi="Times New Roman"/>
          <w:sz w:val="16"/>
          <w:szCs w:val="16"/>
          <w:b w:val="1"/>
          <w:bCs w:val="1"/>
          <w:color w:val="auto"/>
        </w:rPr>
        <w:t>Item 2.01</w:t>
        <w:tab/>
        <w:t>Completion of Acquisition or Disposition of Assets.</w:t>
      </w:r>
    </w:p>
    <w:p>
      <w:pPr>
        <w:spacing w:after="0" w:line="111" w:lineRule="exact"/>
        <w:rPr>
          <w:sz w:val="20"/>
          <w:szCs w:val="20"/>
          <w:color w:val="auto"/>
        </w:rPr>
      </w:pPr>
    </w:p>
    <w:p>
      <w:pPr>
        <w:jc w:val="both"/>
        <w:ind w:left="2"/>
        <w:spacing w:after="0" w:line="271" w:lineRule="auto"/>
        <w:rPr>
          <w:sz w:val="20"/>
          <w:szCs w:val="20"/>
          <w:color w:val="auto"/>
        </w:rPr>
      </w:pPr>
      <w:r>
        <w:rPr>
          <w:rFonts w:ascii="Times New Roman" w:cs="Times New Roman" w:eastAsia="Times New Roman" w:hAnsi="Times New Roman"/>
          <w:sz w:val="16"/>
          <w:szCs w:val="16"/>
          <w:color w:val="212529"/>
        </w:rPr>
        <w:t>On August 8, 2024, SoundHound AI, Inc. (the “Company”) filed a Current Report on Form 8-K (the “Original Form 8-K”) to report on the completion of the acquisition of all of the issued and outstanding shares of the capital stock of Amelia Holdings, Inc. (“Amelia”), a Delaware corporation, pursuant to the Stock Purchase Agreement (the “Purchase Agreement”) dated as of August 6, 2024.</w:t>
      </w:r>
    </w:p>
    <w:p>
      <w:pPr>
        <w:spacing w:after="0" w:line="59" w:lineRule="exact"/>
        <w:rPr>
          <w:sz w:val="20"/>
          <w:szCs w:val="20"/>
          <w:color w:val="auto"/>
        </w:rPr>
      </w:pPr>
    </w:p>
    <w:p>
      <w:pPr>
        <w:jc w:val="both"/>
        <w:ind w:left="2"/>
        <w:spacing w:after="0" w:line="282" w:lineRule="auto"/>
        <w:rPr>
          <w:sz w:val="20"/>
          <w:szCs w:val="20"/>
          <w:color w:val="auto"/>
        </w:rPr>
      </w:pPr>
      <w:r>
        <w:rPr>
          <w:rFonts w:ascii="Times New Roman" w:cs="Times New Roman" w:eastAsia="Times New Roman" w:hAnsi="Times New Roman"/>
          <w:sz w:val="16"/>
          <w:szCs w:val="16"/>
          <w:color w:val="212529"/>
        </w:rPr>
        <w:t>This Current Report on Form 8-K/A amends the Original Form 8-K to include the financial statements and pro forma information required by Item 9.01 of Form 8-K. Except for the filing of such financial statements and pro forma information, this Form 8-K/A does not modify or update other disclosures in, or exhibits to, the Original Form 8-K.</w:t>
      </w:r>
    </w:p>
    <w:p>
      <w:pPr>
        <w:spacing w:after="0" w:line="322" w:lineRule="exact"/>
        <w:rPr>
          <w:sz w:val="20"/>
          <w:szCs w:val="20"/>
          <w:color w:val="auto"/>
        </w:rPr>
      </w:pPr>
    </w:p>
    <w:p>
      <w:pPr>
        <w:ind w:left="2"/>
        <w:spacing w:after="0"/>
        <w:tabs>
          <w:tab w:leader="none" w:pos="842" w:val="left"/>
        </w:tabs>
        <w:rPr>
          <w:sz w:val="20"/>
          <w:szCs w:val="20"/>
          <w:color w:val="auto"/>
        </w:rPr>
      </w:pPr>
      <w:r>
        <w:rPr>
          <w:rFonts w:ascii="Times New Roman" w:cs="Times New Roman" w:eastAsia="Times New Roman" w:hAnsi="Times New Roman"/>
          <w:sz w:val="16"/>
          <w:szCs w:val="16"/>
          <w:b w:val="1"/>
          <w:bCs w:val="1"/>
          <w:color w:val="auto"/>
        </w:rPr>
        <w:t>Item 9.01.</w:t>
        <w:tab/>
        <w:t>Financial Statement and Exhibits.</w:t>
      </w:r>
    </w:p>
    <w:p>
      <w:pPr>
        <w:spacing w:after="0" w:line="170" w:lineRule="exact"/>
        <w:rPr>
          <w:sz w:val="20"/>
          <w:szCs w:val="20"/>
          <w:color w:val="auto"/>
        </w:rPr>
      </w:pPr>
    </w:p>
    <w:p>
      <w:pPr>
        <w:ind w:left="222" w:hanging="222"/>
        <w:spacing w:after="0"/>
        <w:tabs>
          <w:tab w:leader="none" w:pos="222"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Financial Statements of Businesses Acquired.</w:t>
      </w:r>
    </w:p>
    <w:p>
      <w:pPr>
        <w:spacing w:after="0" w:line="233" w:lineRule="exact"/>
        <w:rPr>
          <w:sz w:val="20"/>
          <w:szCs w:val="20"/>
          <w:color w:val="auto"/>
        </w:rPr>
      </w:pPr>
    </w:p>
    <w:p>
      <w:pPr>
        <w:jc w:val="both"/>
        <w:ind w:left="2" w:right="20"/>
        <w:spacing w:after="0" w:line="271" w:lineRule="auto"/>
        <w:rPr>
          <w:sz w:val="20"/>
          <w:szCs w:val="20"/>
          <w:color w:val="auto"/>
        </w:rPr>
      </w:pPr>
      <w:r>
        <w:rPr>
          <w:rFonts w:ascii="Times New Roman" w:cs="Times New Roman" w:eastAsia="Times New Roman" w:hAnsi="Times New Roman"/>
          <w:sz w:val="16"/>
          <w:szCs w:val="16"/>
          <w:color w:val="auto"/>
        </w:rPr>
        <w:t>Amelia’s audited consolidated financial statements as of and for the years ended December 31, 2023 and 2022 and unaudited condensed consolidated financial statements for the six month periods ended June 30, 2024 and 2023 are attached as Exhibits 99.1 and 99.2, respectively, to this Form 8-K/A and incorporated herein by reference. Such financial statements of Amelia were prepared in accordance with U.S. generally accepted accounting principles as issued by the Financial Accounting Standards Board.</w:t>
      </w:r>
    </w:p>
    <w:p>
      <w:pPr>
        <w:spacing w:after="0" w:line="179" w:lineRule="exact"/>
        <w:rPr>
          <w:sz w:val="20"/>
          <w:szCs w:val="20"/>
          <w:color w:val="auto"/>
        </w:rPr>
      </w:pPr>
    </w:p>
    <w:p>
      <w:pPr>
        <w:ind w:left="222" w:hanging="222"/>
        <w:spacing w:after="0"/>
        <w:tabs>
          <w:tab w:leader="none" w:pos="22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Unaudited Pro Forma Condensed Combined Financial Information.</w:t>
      </w:r>
    </w:p>
    <w:p>
      <w:pPr>
        <w:spacing w:after="0" w:line="233" w:lineRule="exact"/>
        <w:rPr>
          <w:sz w:val="20"/>
          <w:szCs w:val="20"/>
          <w:color w:val="auto"/>
        </w:rPr>
      </w:pPr>
    </w:p>
    <w:p>
      <w:pPr>
        <w:ind w:left="2" w:right="20"/>
        <w:spacing w:after="0" w:line="289" w:lineRule="auto"/>
        <w:rPr>
          <w:sz w:val="20"/>
          <w:szCs w:val="20"/>
          <w:color w:val="auto"/>
        </w:rPr>
      </w:pPr>
      <w:r>
        <w:rPr>
          <w:rFonts w:ascii="Times New Roman" w:cs="Times New Roman" w:eastAsia="Times New Roman" w:hAnsi="Times New Roman"/>
          <w:sz w:val="16"/>
          <w:szCs w:val="16"/>
          <w:color w:val="auto"/>
        </w:rPr>
        <w:t>The unaudited pro forma condensed combined financial information as of and for the six months ended June 30, 2024, and for the year ended December 31, 2023, related to the Company’s acquisition of Amelia are attached as Exhibit 99.3 to this Form 8-K/A and incorporated herein by reference.</w:t>
      </w:r>
    </w:p>
    <w:p>
      <w:pPr>
        <w:spacing w:after="0" w:line="164" w:lineRule="exact"/>
        <w:rPr>
          <w:sz w:val="20"/>
          <w:szCs w:val="20"/>
          <w:color w:val="auto"/>
        </w:rPr>
      </w:pPr>
    </w:p>
    <w:tbl>
      <w:tblPr>
        <w:tblLayout w:type="fixed"/>
        <w:tblInd w:w="2" w:type="dxa"/>
        <w:tblCellMar>
          <w:top w:w="0" w:type="dxa"/>
          <w:left w:w="0" w:type="dxa"/>
          <w:bottom w:w="0" w:type="dxa"/>
          <w:right w:w="0" w:type="dxa"/>
        </w:tblCellMar>
      </w:tblPr>
      <w:tr>
        <w:trPr>
          <w:trHeight w:val="213"/>
        </w:trPr>
        <w:tc>
          <w:tcPr>
            <w:tcW w:w="1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(c) </w:t>
            </w:r>
            <w:r>
              <w:rPr>
                <w:rFonts w:ascii="Times New Roman" w:cs="Times New Roman" w:eastAsia="Times New Roman" w:hAnsi="Times New Roman"/>
                <w:sz w:val="16"/>
                <w:szCs w:val="16"/>
                <w:i w:val="1"/>
                <w:iCs w:val="1"/>
                <w:color w:val="auto"/>
              </w:rPr>
              <w:t>Exhibits</w:t>
            </w:r>
            <w:r>
              <w:rPr>
                <w:rFonts w:ascii="Times New Roman" w:cs="Times New Roman" w:eastAsia="Times New Roman" w:hAnsi="Times New Roman"/>
                <w:sz w:val="16"/>
                <w:szCs w:val="16"/>
                <w:color w:val="auto"/>
              </w:rPr>
              <w:t>.</w:t>
            </w:r>
          </w:p>
        </w:tc>
        <w:tc>
          <w:tcPr>
            <w:tcW w:w="2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946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80"/>
        </w:trPr>
        <w:tc>
          <w:tcPr>
            <w:tcW w:w="1700" w:type="dxa"/>
            <w:vAlign w:val="bottom"/>
            <w:tcBorders>
              <w:top w:val="single" w:sz="8" w:color="auto"/>
              <w:bottom w:val="single" w:sz="8" w:color="CCEEFF"/>
            </w:tcBorders>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23.1</w:t>
            </w:r>
          </w:p>
        </w:tc>
        <w:tc>
          <w:tcPr>
            <w:tcW w:w="10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080" w:type="dxa"/>
            <w:vAlign w:val="bottom"/>
            <w:tcBorders>
              <w:top w:val="single" w:sz="8" w:color="auto"/>
              <w:bottom w:val="single" w:sz="8" w:color="0000FF"/>
            </w:tcBorders>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FF"/>
                <w:w w:val="99"/>
              </w:rPr>
              <w:t>Consent of Ernst &amp; Young LLP.</w:t>
            </w:r>
          </w:p>
        </w:tc>
        <w:tc>
          <w:tcPr>
            <w:tcW w:w="7380" w:type="dxa"/>
            <w:vAlign w:val="bottom"/>
            <w:tcBorders>
              <w:top w:val="single" w:sz="8" w:color="auto"/>
              <w:bottom w:val="single" w:sz="8" w:color="CCEEFF"/>
            </w:tcBorders>
            <w:gridSpan w:val="6"/>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00" w:type="dxa"/>
            <w:vAlign w:val="bottom"/>
          </w:tcPr>
          <w:p>
            <w:pPr>
              <w:ind w:left="20"/>
              <w:spacing w:after="0" w:line="171" w:lineRule="exact"/>
              <w:rPr>
                <w:sz w:val="20"/>
                <w:szCs w:val="20"/>
                <w:color w:val="auto"/>
              </w:rPr>
            </w:pPr>
            <w:r>
              <w:rPr>
                <w:rFonts w:ascii="Times New Roman" w:cs="Times New Roman" w:eastAsia="Times New Roman" w:hAnsi="Times New Roman"/>
                <w:sz w:val="16"/>
                <w:szCs w:val="16"/>
                <w:color w:val="auto"/>
              </w:rPr>
              <w:t>99.1</w:t>
            </w:r>
          </w:p>
        </w:tc>
        <w:tc>
          <w:tcPr>
            <w:tcW w:w="100" w:type="dxa"/>
            <w:vAlign w:val="bottom"/>
          </w:tcPr>
          <w:p>
            <w:pPr>
              <w:spacing w:after="0"/>
              <w:rPr>
                <w:sz w:val="15"/>
                <w:szCs w:val="15"/>
                <w:color w:val="auto"/>
              </w:rPr>
            </w:pPr>
          </w:p>
        </w:tc>
        <w:tc>
          <w:tcPr>
            <w:tcW w:w="9240" w:type="dxa"/>
            <w:vAlign w:val="bottom"/>
            <w:tcBorders>
              <w:bottom w:val="single" w:sz="8" w:color="0000FF"/>
            </w:tcBorders>
            <w:gridSpan w:val="5"/>
          </w:tcPr>
          <w:p>
            <w:pPr>
              <w:spacing w:after="0" w:line="171" w:lineRule="exact"/>
              <w:rPr>
                <w:sz w:val="20"/>
                <w:szCs w:val="20"/>
                <w:color w:val="auto"/>
              </w:rPr>
            </w:pPr>
            <w:r>
              <w:rPr>
                <w:rFonts w:ascii="Times New Roman" w:cs="Times New Roman" w:eastAsia="Times New Roman" w:hAnsi="Times New Roman"/>
                <w:sz w:val="16"/>
                <w:szCs w:val="16"/>
                <w:color w:val="0000FF"/>
              </w:rPr>
              <w:t>Audited consolidated and combined financial statements of Amelia Holdings, Inc. as of and for the years ended December 31, 2023 and 2022.</w:t>
            </w:r>
          </w:p>
        </w:tc>
        <w:tc>
          <w:tcPr>
            <w:tcW w:w="2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99.2</w:t>
            </w:r>
          </w:p>
        </w:tc>
        <w:tc>
          <w:tcPr>
            <w:tcW w:w="100" w:type="dxa"/>
            <w:vAlign w:val="bottom"/>
            <w:tcBorders>
              <w:right w:val="single" w:sz="8" w:color="CCEEFF"/>
            </w:tcBorders>
            <w:shd w:val="clear" w:color="auto" w:fill="CCEEFF"/>
          </w:tcPr>
          <w:p>
            <w:pPr>
              <w:spacing w:after="0"/>
              <w:rPr>
                <w:sz w:val="15"/>
                <w:szCs w:val="15"/>
                <w:color w:val="auto"/>
              </w:rPr>
            </w:pPr>
          </w:p>
        </w:tc>
        <w:tc>
          <w:tcPr>
            <w:tcW w:w="9460" w:type="dxa"/>
            <w:vAlign w:val="bottom"/>
            <w:gridSpan w:val="7"/>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0000FF"/>
              </w:rPr>
              <w:t>Unaudited condensed consolidated and combined financial statements of Amelia Holdings, Inc. as of June 30, 2024 and 2023 and for the six</w:t>
            </w:r>
          </w:p>
        </w:tc>
        <w:tc>
          <w:tcPr>
            <w:tcW w:w="0" w:type="dxa"/>
            <w:vAlign w:val="bottom"/>
          </w:tcPr>
          <w:p>
            <w:pPr>
              <w:spacing w:after="0"/>
              <w:rPr>
                <w:sz w:val="1"/>
                <w:szCs w:val="1"/>
                <w:color w:val="auto"/>
              </w:rPr>
            </w:pPr>
          </w:p>
        </w:tc>
      </w:tr>
      <w:tr>
        <w:trPr>
          <w:trHeight w:val="151"/>
        </w:trPr>
        <w:tc>
          <w:tcPr>
            <w:tcW w:w="1700" w:type="dxa"/>
            <w:vAlign w:val="bottom"/>
            <w:tcBorders>
              <w:top w:val="single" w:sz="8" w:color="CCEEFF"/>
            </w:tcBorders>
            <w:vMerge w:val="continue"/>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9120" w:type="dxa"/>
            <w:vAlign w:val="bottom"/>
            <w:tcBorders>
              <w:top w:val="single" w:sz="8" w:color="0000FF"/>
            </w:tcBorders>
            <w:gridSpan w:val="4"/>
            <w:shd w:val="clear" w:color="auto" w:fill="CCEEFF"/>
          </w:tcPr>
          <w:p>
            <w:pPr>
              <w:spacing w:after="0" w:line="151" w:lineRule="exact"/>
              <w:rPr>
                <w:sz w:val="20"/>
                <w:szCs w:val="20"/>
                <w:color w:val="auto"/>
              </w:rPr>
            </w:pPr>
            <w:r>
              <w:rPr>
                <w:rFonts w:ascii="Times New Roman" w:cs="Times New Roman" w:eastAsia="Times New Roman" w:hAnsi="Times New Roman"/>
                <w:sz w:val="16"/>
                <w:szCs w:val="16"/>
                <w:color w:val="0000FF"/>
              </w:rPr>
              <w:t>months ended June 30, 2024 and 2023 and the notes related thereto.</w:t>
            </w:r>
          </w:p>
        </w:tc>
        <w:tc>
          <w:tcPr>
            <w:tcW w:w="22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170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2080" w:type="dxa"/>
            <w:vAlign w:val="bottom"/>
            <w:shd w:val="clear" w:color="auto" w:fill="0000FF"/>
          </w:tcPr>
          <w:p>
            <w:pPr>
              <w:spacing w:after="0"/>
              <w:rPr>
                <w:sz w:val="3"/>
                <w:szCs w:val="3"/>
                <w:color w:val="auto"/>
              </w:rPr>
            </w:pPr>
          </w:p>
        </w:tc>
        <w:tc>
          <w:tcPr>
            <w:tcW w:w="168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47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99.3</w:t>
            </w:r>
          </w:p>
        </w:tc>
        <w:tc>
          <w:tcPr>
            <w:tcW w:w="100" w:type="dxa"/>
            <w:vAlign w:val="bottom"/>
          </w:tcPr>
          <w:p>
            <w:pPr>
              <w:spacing w:after="0"/>
              <w:rPr>
                <w:sz w:val="14"/>
                <w:szCs w:val="14"/>
                <w:color w:val="auto"/>
              </w:rPr>
            </w:pPr>
          </w:p>
        </w:tc>
        <w:tc>
          <w:tcPr>
            <w:tcW w:w="9460" w:type="dxa"/>
            <w:vAlign w:val="bottom"/>
            <w:gridSpan w:val="7"/>
          </w:tcPr>
          <w:p>
            <w:pPr>
              <w:spacing w:after="0" w:line="171" w:lineRule="exact"/>
              <w:rPr>
                <w:sz w:val="20"/>
                <w:szCs w:val="20"/>
                <w:color w:val="auto"/>
              </w:rPr>
            </w:pPr>
            <w:r>
              <w:rPr>
                <w:rFonts w:ascii="Times New Roman" w:cs="Times New Roman" w:eastAsia="Times New Roman" w:hAnsi="Times New Roman"/>
                <w:sz w:val="16"/>
                <w:szCs w:val="16"/>
                <w:color w:val="0000FF"/>
              </w:rPr>
              <w:t>Unaudited pro forma condensed combined financial information of the Company and Amelia Holdings, Inc., as of and for the six months ended</w:t>
            </w:r>
          </w:p>
        </w:tc>
        <w:tc>
          <w:tcPr>
            <w:tcW w:w="0" w:type="dxa"/>
            <w:vAlign w:val="bottom"/>
          </w:tcPr>
          <w:p>
            <w:pPr>
              <w:spacing w:after="0"/>
              <w:rPr>
                <w:sz w:val="1"/>
                <w:szCs w:val="1"/>
                <w:color w:val="auto"/>
              </w:rPr>
            </w:pPr>
          </w:p>
        </w:tc>
      </w:tr>
      <w:tr>
        <w:trPr>
          <w:trHeight w:val="159"/>
        </w:trPr>
        <w:tc>
          <w:tcPr>
            <w:tcW w:w="1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2"/>
          </w:tcPr>
          <w:p>
            <w:pPr>
              <w:spacing w:after="0" w:line="151" w:lineRule="exact"/>
              <w:rPr>
                <w:sz w:val="20"/>
                <w:szCs w:val="20"/>
                <w:color w:val="auto"/>
              </w:rPr>
            </w:pPr>
            <w:r>
              <w:rPr>
                <w:rFonts w:ascii="Times New Roman" w:cs="Times New Roman" w:eastAsia="Times New Roman" w:hAnsi="Times New Roman"/>
                <w:sz w:val="16"/>
                <w:szCs w:val="16"/>
                <w:color w:val="0000FF"/>
              </w:rPr>
              <w:t>June 30, 2024 and for the year ended December 31, 2023.</w:t>
            </w:r>
          </w:p>
        </w:tc>
        <w:tc>
          <w:tcPr>
            <w:tcW w:w="5580" w:type="dxa"/>
            <w:vAlign w:val="bottom"/>
            <w:tcBorders>
              <w:top w:val="single" w:sz="8" w:color="0000FF"/>
            </w:tcBorders>
            <w:gridSpan w:val="4"/>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right w:val="single" w:sz="8" w:color="CCEEFF"/>
            </w:tcBorders>
            <w:shd w:val="clear" w:color="auto" w:fill="CCEEFF"/>
          </w:tcPr>
          <w:p>
            <w:pPr>
              <w:spacing w:after="0"/>
              <w:rPr>
                <w:sz w:val="18"/>
                <w:szCs w:val="18"/>
                <w:color w:val="auto"/>
              </w:rPr>
            </w:pPr>
          </w:p>
        </w:tc>
        <w:tc>
          <w:tcPr>
            <w:tcW w:w="94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17105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2"/>
          </w:cols>
          <w:pgMar w:left="318" w:top="1011"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212529"/>
        </w:rPr>
        <w:t>SIGNATURE</w:t>
      </w:r>
    </w:p>
    <w:p>
      <w:pPr>
        <w:spacing w:after="0" w:line="184"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6"/>
          <w:szCs w:val="16"/>
          <w:color w:val="212529"/>
        </w:rPr>
        <w:t>Pursuant to the requirements of the Securities Exchange Act of 1934, the registrant has duly caused this Current Report on Form 8-K/A to be signed on its behalf by the undersigned hereunto duly authorized.</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Dated: October 22, 2024</w:t>
            </w:r>
          </w:p>
        </w:tc>
        <w:tc>
          <w:tcPr>
            <w:tcW w:w="7900" w:type="dxa"/>
            <w:vAlign w:val="bottom"/>
            <w:gridSpan w:val="3"/>
          </w:tcPr>
          <w:p>
            <w:pPr>
              <w:ind w:left="1720"/>
              <w:spacing w:after="0"/>
              <w:rPr>
                <w:sz w:val="20"/>
                <w:szCs w:val="20"/>
                <w:color w:val="auto"/>
              </w:rPr>
            </w:pPr>
            <w:r>
              <w:rPr>
                <w:rFonts w:ascii="Times New Roman" w:cs="Times New Roman" w:eastAsia="Times New Roman" w:hAnsi="Times New Roman"/>
                <w:sz w:val="16"/>
                <w:szCs w:val="16"/>
                <w:color w:val="auto"/>
              </w:rPr>
              <w:t>SoundHound AI, Inc.</w:t>
            </w:r>
          </w:p>
        </w:tc>
      </w:tr>
      <w:tr>
        <w:trPr>
          <w:trHeight w:val="427"/>
        </w:trPr>
        <w:tc>
          <w:tcPr>
            <w:tcW w:w="3340" w:type="dxa"/>
            <w:vAlign w:val="bottom"/>
          </w:tcPr>
          <w:p>
            <w:pPr>
              <w:spacing w:after="0"/>
              <w:rPr>
                <w:sz w:val="24"/>
                <w:szCs w:val="24"/>
                <w:color w:val="auto"/>
              </w:rPr>
            </w:pPr>
          </w:p>
        </w:tc>
        <w:tc>
          <w:tcPr>
            <w:tcW w:w="7900" w:type="dxa"/>
            <w:vAlign w:val="bottom"/>
            <w:gridSpan w:val="3"/>
          </w:tcPr>
          <w:p>
            <w:pPr>
              <w:ind w:left="1720"/>
              <w:spacing w:after="0"/>
              <w:rPr>
                <w:sz w:val="20"/>
                <w:szCs w:val="20"/>
                <w:color w:val="auto"/>
              </w:rPr>
            </w:pPr>
            <w:r>
              <w:rPr>
                <w:rFonts w:ascii="Times New Roman" w:cs="Times New Roman" w:eastAsia="Times New Roman" w:hAnsi="Times New Roman"/>
                <w:sz w:val="16"/>
                <w:szCs w:val="16"/>
                <w:color w:val="auto"/>
              </w:rPr>
              <w:t>By:   /s/ Keyvan Mohajer</w:t>
            </w:r>
          </w:p>
        </w:tc>
      </w:tr>
      <w:tr>
        <w:trPr>
          <w:trHeight w:val="196"/>
        </w:trPr>
        <w:tc>
          <w:tcPr>
            <w:tcW w:w="33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Name:</w:t>
            </w:r>
          </w:p>
        </w:tc>
        <w:tc>
          <w:tcPr>
            <w:tcW w:w="51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Keyvan Mohajer</w:t>
            </w:r>
          </w:p>
        </w:tc>
      </w:tr>
      <w:tr>
        <w:trPr>
          <w:trHeight w:val="211"/>
        </w:trPr>
        <w:tc>
          <w:tcPr>
            <w:tcW w:w="33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5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817"/>
        </w:trPr>
        <w:tc>
          <w:tcPr>
            <w:tcW w:w="3340" w:type="dxa"/>
            <w:vAlign w:val="bottom"/>
          </w:tcPr>
          <w:p>
            <w:pPr>
              <w:spacing w:after="0"/>
              <w:rPr>
                <w:sz w:val="24"/>
                <w:szCs w:val="24"/>
                <w:color w:val="auto"/>
              </w:rPr>
            </w:pPr>
          </w:p>
        </w:tc>
        <w:tc>
          <w:tcPr>
            <w:tcW w:w="278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color w:val="auto"/>
              </w:rPr>
              <w:t>3</w:t>
            </w:r>
          </w:p>
        </w:tc>
        <w:tc>
          <w:tcPr>
            <w:tcW w:w="5120" w:type="dxa"/>
            <w:vAlign w:val="bottom"/>
          </w:tcPr>
          <w:p>
            <w:pPr>
              <w:spacing w:after="0"/>
              <w:rPr>
                <w:sz w:val="24"/>
                <w:szCs w:val="24"/>
                <w:color w:val="auto"/>
              </w:rPr>
            </w:pPr>
          </w:p>
        </w:tc>
      </w:tr>
    </w:tbl>
    <w:p>
      <w:pPr>
        <w:sectPr>
          <w:pgSz w:w="11900" w:h="16838" w:orient="portrait"/>
          <w:cols w:equalWidth="0" w:num="1">
            <w:col w:w="11260"/>
          </w:cols>
          <w:pgMar w:left="320" w:top="1011"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Auditors</w:t>
      </w:r>
    </w:p>
    <w:p>
      <w:pPr>
        <w:spacing w:after="0" w:line="12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Statements on Form S-8 (Nos. 333-266239, 333-278547) and Form S-3 (Nos. 333-264972, 333-273393) of SoundHound AI, Inc. of our report dated October 22, 2024, relating to the consolidated and combined financial statements of Amelia Holdings,</w:t>
      </w:r>
    </w:p>
    <w:p>
      <w:pPr>
        <w:spacing w:after="0" w:line="226" w:lineRule="auto"/>
        <w:rPr>
          <w:sz w:val="20"/>
          <w:szCs w:val="20"/>
          <w:color w:val="auto"/>
        </w:rPr>
      </w:pPr>
      <w:r>
        <w:rPr>
          <w:rFonts w:ascii="Times New Roman" w:cs="Times New Roman" w:eastAsia="Times New Roman" w:hAnsi="Times New Roman"/>
          <w:sz w:val="18"/>
          <w:szCs w:val="18"/>
          <w:color w:val="auto"/>
        </w:rPr>
        <w:t>Inc. and Subsidiaries as of and for the year ended December 31, 2023 and as of December 31, 2022 (Successor), and the periods from December 21, 2022</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through December 31, 2022 (Successor), January 1, 2022 through December 20, 2022 (Predecessor), appearing in this Current Report on Form 8-K/A of SoundHound AI, Inc.</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22, 2024</w:t>
      </w:r>
    </w:p>
    <w:p>
      <w:pPr>
        <w:sectPr>
          <w:pgSz w:w="11900" w:h="16838" w:orient="portrait"/>
          <w:cols w:equalWidth="0" w:num="1">
            <w:col w:w="11240"/>
          </w:cols>
          <w:pgMar w:left="320" w:top="1431" w:right="339" w:bottom="1440" w:gutter="0" w:footer="0" w:header="0"/>
        </w:sectPr>
      </w:pPr>
    </w:p>
    <w:bookmarkStart w:id="4" w:name="page5"/>
    <w:bookmarkEnd w:id="4"/>
    <w:p>
      <w:pPr>
        <w:ind w:left="180"/>
        <w:spacing w:after="0"/>
        <w:rPr>
          <w:sz w:val="20"/>
          <w:szCs w:val="20"/>
          <w:color w:val="auto"/>
        </w:rPr>
      </w:pPr>
      <w:r>
        <w:rPr>
          <w:rFonts w:ascii="Times New Roman" w:cs="Times New Roman" w:eastAsia="Times New Roman" w:hAnsi="Times New Roman"/>
          <w:sz w:val="21"/>
          <w:szCs w:val="21"/>
          <w:color w:val="auto"/>
        </w:rPr>
        <w:t>CONSOLIDATED AND COMBINED FINANCIAL STATEMENTS</w:t>
      </w:r>
    </w:p>
    <w:p>
      <w:pPr>
        <w:spacing w:after="0" w:line="200" w:lineRule="exact"/>
        <w:rPr>
          <w:sz w:val="20"/>
          <w:szCs w:val="20"/>
          <w:color w:val="auto"/>
        </w:rPr>
      </w:pPr>
    </w:p>
    <w:p>
      <w:pPr>
        <w:spacing w:after="0" w:line="2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AMELIA HOLDINGS, INC. AND SUBSIDIARIES</w:t>
      </w:r>
    </w:p>
    <w:p>
      <w:pPr>
        <w:spacing w:after="0" w:line="28" w:lineRule="exact"/>
        <w:rPr>
          <w:sz w:val="20"/>
          <w:szCs w:val="20"/>
          <w:color w:val="auto"/>
        </w:rPr>
      </w:pPr>
    </w:p>
    <w:p>
      <w:pPr>
        <w:ind w:left="200" w:hanging="7"/>
        <w:spacing w:after="0" w:line="248" w:lineRule="auto"/>
        <w:rPr>
          <w:sz w:val="20"/>
          <w:szCs w:val="20"/>
          <w:color w:val="auto"/>
        </w:rPr>
      </w:pPr>
      <w:r>
        <w:rPr>
          <w:rFonts w:ascii="Times New Roman" w:cs="Times New Roman" w:eastAsia="Times New Roman" w:hAnsi="Times New Roman"/>
          <w:sz w:val="20"/>
          <w:szCs w:val="20"/>
          <w:color w:val="auto"/>
        </w:rPr>
        <w:t>As of December 31, 2023 and December 31, 2022 (Successor), and the year ended December 31, 2023 (Successor) and the periods from</w:t>
      </w:r>
    </w:p>
    <w:p>
      <w:pPr>
        <w:ind w:left="180" w:right="4200"/>
        <w:spacing w:after="0" w:line="256" w:lineRule="auto"/>
        <w:rPr>
          <w:sz w:val="20"/>
          <w:szCs w:val="20"/>
          <w:color w:val="auto"/>
        </w:rPr>
      </w:pPr>
      <w:r>
        <w:rPr>
          <w:rFonts w:ascii="Times New Roman" w:cs="Times New Roman" w:eastAsia="Times New Roman" w:hAnsi="Times New Roman"/>
          <w:sz w:val="20"/>
          <w:szCs w:val="20"/>
          <w:color w:val="auto"/>
        </w:rPr>
        <w:t>December 21, 2022 through December 31, 2022 (Successor), and January 1, 2022 through December 20, 2022 (Predecessor)</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With Report of Independent Auditors</w:t>
      </w:r>
    </w:p>
    <w:p>
      <w:pPr>
        <w:sectPr>
          <w:pgSz w:w="11900" w:h="16838" w:orient="portrait"/>
          <w:cols w:equalWidth="0" w:num="1">
            <w:col w:w="9500"/>
          </w:cols>
          <w:pgMar w:left="1440" w:top="1427" w:right="959" w:bottom="1440" w:gutter="0" w:footer="0" w:header="0"/>
        </w:sectPr>
      </w:pPr>
    </w:p>
    <w:bookmarkStart w:id="5" w:name="page6"/>
    <w:bookmarkEnd w:id="5"/>
    <w:p>
      <w:pPr>
        <w:spacing w:after="0" w:line="4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INDEX TO CONSOLIDATED AND COMBINED FINANCIAL STATEMENTS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9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Consolidated and Combined Financial Statements</w:t>
            </w:r>
          </w:p>
        </w:tc>
        <w:tc>
          <w:tcPr>
            <w:tcW w:w="560" w:type="dxa"/>
            <w:vAlign w:val="bottom"/>
          </w:tcPr>
          <w:p>
            <w:pPr>
              <w:spacing w:after="0"/>
              <w:rPr>
                <w:sz w:val="22"/>
                <w:szCs w:val="22"/>
                <w:color w:val="auto"/>
              </w:rPr>
            </w:pPr>
          </w:p>
        </w:tc>
      </w:tr>
      <w:tr>
        <w:trPr>
          <w:trHeight w:val="439"/>
        </w:trPr>
        <w:tc>
          <w:tcPr>
            <w:tcW w:w="95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Report of Independent Auditors</w:t>
            </w:r>
          </w:p>
        </w:tc>
        <w:tc>
          <w:tcPr>
            <w:tcW w:w="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w:t>
            </w:r>
          </w:p>
        </w:tc>
      </w:tr>
      <w:tr>
        <w:trPr>
          <w:trHeight w:val="500"/>
        </w:trPr>
        <w:tc>
          <w:tcPr>
            <w:tcW w:w="95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w:t>
            </w:r>
          </w:p>
        </w:tc>
      </w:tr>
      <w:tr>
        <w:trPr>
          <w:trHeight w:val="512"/>
        </w:trPr>
        <w:tc>
          <w:tcPr>
            <w:tcW w:w="95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Consolidated and Combined Statements of Operations and Comprehensive Loss</w:t>
            </w:r>
          </w:p>
        </w:tc>
        <w:tc>
          <w:tcPr>
            <w:tcW w:w="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5</w:t>
            </w:r>
          </w:p>
        </w:tc>
      </w:tr>
      <w:tr>
        <w:trPr>
          <w:trHeight w:val="502"/>
        </w:trPr>
        <w:tc>
          <w:tcPr>
            <w:tcW w:w="95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Consolidated and Combined Statements of Changes in Convertible Redeemable Preferred Stock and</w:t>
            </w:r>
          </w:p>
        </w:tc>
        <w:tc>
          <w:tcPr>
            <w:tcW w:w="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6</w:t>
            </w:r>
          </w:p>
        </w:tc>
      </w:tr>
      <w:tr>
        <w:trPr>
          <w:trHeight w:val="254"/>
        </w:trPr>
        <w:tc>
          <w:tcPr>
            <w:tcW w:w="95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Stockholders’ Deficit and Parent Investment</w:t>
            </w:r>
          </w:p>
        </w:tc>
        <w:tc>
          <w:tcPr>
            <w:tcW w:w="560" w:type="dxa"/>
            <w:vAlign w:val="bottom"/>
          </w:tcPr>
          <w:p>
            <w:pPr>
              <w:spacing w:after="0"/>
              <w:rPr>
                <w:sz w:val="22"/>
                <w:szCs w:val="22"/>
                <w:color w:val="auto"/>
              </w:rPr>
            </w:pPr>
          </w:p>
        </w:tc>
      </w:tr>
      <w:tr>
        <w:trPr>
          <w:trHeight w:val="536"/>
        </w:trPr>
        <w:tc>
          <w:tcPr>
            <w:tcW w:w="95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Consolidated and Combined Statements of Cash Flows</w:t>
            </w:r>
          </w:p>
        </w:tc>
        <w:tc>
          <w:tcPr>
            <w:tcW w:w="5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w:t>
            </w:r>
          </w:p>
        </w:tc>
      </w:tr>
      <w:tr>
        <w:trPr>
          <w:trHeight w:val="500"/>
        </w:trPr>
        <w:tc>
          <w:tcPr>
            <w:tcW w:w="95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Notes to Consolidated and Combined Financial Statements</w:t>
            </w:r>
          </w:p>
        </w:tc>
        <w:tc>
          <w:tcPr>
            <w:tcW w:w="5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2"/>
              </w:rPr>
              <w:t>8-36</w:t>
            </w:r>
          </w:p>
        </w:tc>
      </w:tr>
    </w:tbl>
    <w:p>
      <w:pPr>
        <w:sectPr>
          <w:pgSz w:w="11900" w:h="16838" w:orient="portrait"/>
          <w:cols w:equalWidth="0" w:num="1">
            <w:col w:w="10139"/>
          </w:cols>
          <w:pgMar w:left="32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3135630" cy="7277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3135630" cy="72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3"/>
          <w:szCs w:val="23"/>
          <w:color w:val="auto"/>
        </w:rPr>
        <w:t>Report of Independent Auditors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of Amelia Holdings, Inc. and Subsidiaries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w:t>
      </w:r>
    </w:p>
    <w:p>
      <w:pPr>
        <w:spacing w:after="0" w:line="189" w:lineRule="exact"/>
        <w:rPr>
          <w:sz w:val="20"/>
          <w:szCs w:val="20"/>
          <w:color w:val="auto"/>
        </w:rPr>
      </w:pPr>
    </w:p>
    <w:p>
      <w:pPr>
        <w:jc w:val="both"/>
        <w:ind w:left="20" w:hanging="7"/>
        <w:spacing w:after="0" w:line="249" w:lineRule="auto"/>
        <w:rPr>
          <w:sz w:val="20"/>
          <w:szCs w:val="20"/>
          <w:color w:val="auto"/>
        </w:rPr>
      </w:pPr>
      <w:r>
        <w:rPr>
          <w:rFonts w:ascii="Times New Roman" w:cs="Times New Roman" w:eastAsia="Times New Roman" w:hAnsi="Times New Roman"/>
          <w:sz w:val="20"/>
          <w:szCs w:val="20"/>
          <w:color w:val="auto"/>
        </w:rPr>
        <w:t>We have audited the consolidated and combined financial statements of Amelia Holdings, Inc. and Subsidiaries (the Company), which comprise the consolidated balance sheets as of December 31, 2023 and December 31, 2022 (Successor), and the related consolidated and combined statements of operations and comprehensive loss, changes in convertible redeemable preferred stock and stockholders’ equity and parent investment, and cash flows for the year ended December 31, 2023 (Successor), and the periods from December 21, 2022 through December 31, 2022 (Successor), January 1, 2022 through December 20, 2022 (Predecessor), and the related notes (collectively referred to as the “financial statements”).</w:t>
      </w:r>
    </w:p>
    <w:p>
      <w:pPr>
        <w:spacing w:after="0" w:line="190" w:lineRule="exact"/>
        <w:rPr>
          <w:sz w:val="20"/>
          <w:szCs w:val="20"/>
          <w:color w:val="auto"/>
        </w:rPr>
      </w:pPr>
    </w:p>
    <w:p>
      <w:pPr>
        <w:jc w:val="both"/>
        <w:ind w:left="20" w:hanging="7"/>
        <w:spacing w:after="0" w:line="250" w:lineRule="auto"/>
        <w:rPr>
          <w:sz w:val="20"/>
          <w:szCs w:val="20"/>
          <w:color w:val="auto"/>
        </w:rPr>
      </w:pPr>
      <w:r>
        <w:rPr>
          <w:rFonts w:ascii="Times New Roman" w:cs="Times New Roman" w:eastAsia="Times New Roman" w:hAnsi="Times New Roman"/>
          <w:sz w:val="20"/>
          <w:szCs w:val="20"/>
          <w:color w:val="auto"/>
        </w:rPr>
        <w:t>In our opinion, the accompanying financial statements present fairly, in all material respects, the financial position of the Company at December 31, 2023 and December 31, 2022 (Successor), and the results of its operations and its cash flows for the year ended December 31, 2023 (Successor) and for the periods from December 21, 2022 through December 31, 2022 (Successor), January 1, 2022 through December 20, 2022 (Predecessor) in accordance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89" w:lineRule="exact"/>
        <w:rPr>
          <w:sz w:val="20"/>
          <w:szCs w:val="20"/>
          <w:color w:val="auto"/>
        </w:rPr>
      </w:pPr>
    </w:p>
    <w:p>
      <w:pPr>
        <w:jc w:val="both"/>
        <w:ind w:left="20" w:hanging="7"/>
        <w:spacing w:after="0" w:line="251" w:lineRule="auto"/>
        <w:rPr>
          <w:sz w:val="20"/>
          <w:szCs w:val="20"/>
          <w:color w:val="auto"/>
        </w:rPr>
      </w:pPr>
      <w:r>
        <w:rPr>
          <w:rFonts w:ascii="Times New Roman" w:cs="Times New Roman" w:eastAsia="Times New Roman" w:hAnsi="Times New Roman"/>
          <w:sz w:val="20"/>
          <w:szCs w:val="20"/>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Substantial Doubt About the Company’s Ability to Continue as a Going Concern</w:t>
      </w:r>
    </w:p>
    <w:p>
      <w:pPr>
        <w:spacing w:after="0" w:line="189" w:lineRule="exact"/>
        <w:rPr>
          <w:sz w:val="20"/>
          <w:szCs w:val="20"/>
          <w:color w:val="auto"/>
        </w:rPr>
      </w:pPr>
    </w:p>
    <w:p>
      <w:pPr>
        <w:jc w:val="both"/>
        <w:ind w:left="20" w:hanging="7"/>
        <w:spacing w:after="0" w:line="249" w:lineRule="auto"/>
        <w:rPr>
          <w:sz w:val="20"/>
          <w:szCs w:val="20"/>
          <w:color w:val="auto"/>
        </w:rPr>
      </w:pPr>
      <w:r>
        <w:rPr>
          <w:rFonts w:ascii="Times New Roman" w:cs="Times New Roman" w:eastAsia="Times New Roman" w:hAnsi="Times New Roman"/>
          <w:sz w:val="20"/>
          <w:szCs w:val="20"/>
          <w:color w:val="auto"/>
        </w:rPr>
        <w:t>The accompanying financial statements have been prepared assuming that the Company will continue as a going concern. As discussed in Note 2 of the financial statements, the Company has suffered recurring losses from operations, has insufficient liquidity to satisfy amounts due to third-party lenders, and has stated that substantial doubt exists about the Company’s ability to continue as a going concern. Management’s evaluation of the events and conditions and management’s plans regarding these matters are also described in Note 2. The financial statements do not include any adjustments that might result from the outcome of this uncertainty. Our opinion is not modified with respect to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1</w:t>
      </w:r>
    </w:p>
    <w:p>
      <w:pPr>
        <w:spacing w:after="0" w:line="73" w:lineRule="exact"/>
        <w:rPr>
          <w:sz w:val="20"/>
          <w:szCs w:val="20"/>
          <w:color w:val="auto"/>
        </w:rPr>
      </w:pPr>
    </w:p>
    <w:p>
      <w:pPr>
        <w:ind w:left="20"/>
        <w:spacing w:after="0"/>
        <w:rPr>
          <w:sz w:val="20"/>
          <w:szCs w:val="20"/>
          <w:color w:val="auto"/>
        </w:rPr>
      </w:pPr>
      <w:r>
        <w:rPr>
          <w:rFonts w:ascii="Calibri" w:cs="Calibri" w:eastAsia="Calibri" w:hAnsi="Calibri"/>
          <w:sz w:val="9"/>
          <w:szCs w:val="9"/>
          <w:color w:val="auto"/>
        </w:rPr>
        <w:t>A member frm of Ernst &amp; Young Global Limited</w:t>
      </w:r>
    </w:p>
    <w:p>
      <w:pPr>
        <w:sectPr>
          <w:pgSz w:w="11900" w:h="16838" w:orient="portrait"/>
          <w:cols w:equalWidth="0" w:num="1">
            <w:col w:w="11120"/>
          </w:cols>
          <w:pgMar w:left="300" w:top="1440" w:right="47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619125" cy="7429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19125" cy="74295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Responsibilities of Management for the Financial Statements</w:t>
      </w:r>
    </w:p>
    <w:p>
      <w:pPr>
        <w:spacing w:after="0" w:line="225" w:lineRule="exact"/>
        <w:rPr>
          <w:sz w:val="20"/>
          <w:szCs w:val="20"/>
          <w:color w:val="auto"/>
        </w:rPr>
      </w:pPr>
    </w:p>
    <w:p>
      <w:pPr>
        <w:jc w:val="both"/>
        <w:ind w:left="20" w:hanging="7"/>
        <w:spacing w:after="0" w:line="254" w:lineRule="auto"/>
        <w:rPr>
          <w:sz w:val="20"/>
          <w:szCs w:val="20"/>
          <w:color w:val="auto"/>
        </w:rPr>
      </w:pPr>
      <w:r>
        <w:rPr>
          <w:rFonts w:ascii="Times New Roman" w:cs="Times New Roman" w:eastAsia="Times New Roman" w:hAnsi="Times New Roman"/>
          <w:sz w:val="20"/>
          <w:szCs w:val="20"/>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of material misstatement, whether due to fraud or error.</w:t>
      </w:r>
    </w:p>
    <w:p>
      <w:pPr>
        <w:spacing w:after="0" w:line="184" w:lineRule="exact"/>
        <w:rPr>
          <w:sz w:val="20"/>
          <w:szCs w:val="20"/>
          <w:color w:val="auto"/>
        </w:rPr>
      </w:pPr>
    </w:p>
    <w:p>
      <w:pPr>
        <w:jc w:val="both"/>
        <w:ind w:left="20" w:hanging="7"/>
        <w:spacing w:after="0" w:line="254" w:lineRule="auto"/>
        <w:rPr>
          <w:sz w:val="20"/>
          <w:szCs w:val="20"/>
          <w:color w:val="auto"/>
        </w:rPr>
      </w:pPr>
      <w:r>
        <w:rPr>
          <w:rFonts w:ascii="Times New Roman" w:cs="Times New Roman" w:eastAsia="Times New Roman" w:hAnsi="Times New Roman"/>
          <w:sz w:val="20"/>
          <w:szCs w:val="20"/>
          <w:color w:val="auto"/>
        </w:rPr>
        <w:t>In preparing the financial statements, management is required to evaluate whether there are conditions or events, considered in the aggregate, which raise substantial doubt about the Company’s ability to continue as a going concern for one year after the date that the financial statements are available to be issued.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Auditor’s Responsibilities for the Audit of the Financial Statements</w:t>
      </w:r>
    </w:p>
    <w:p>
      <w:pPr>
        <w:spacing w:after="0" w:line="225" w:lineRule="exact"/>
        <w:rPr>
          <w:sz w:val="20"/>
          <w:szCs w:val="20"/>
          <w:color w:val="auto"/>
        </w:rPr>
      </w:pPr>
    </w:p>
    <w:p>
      <w:pPr>
        <w:jc w:val="both"/>
        <w:ind w:left="20" w:hanging="7"/>
        <w:spacing w:after="0" w:line="248" w:lineRule="auto"/>
        <w:rPr>
          <w:sz w:val="20"/>
          <w:szCs w:val="20"/>
          <w:color w:val="auto"/>
        </w:rPr>
      </w:pPr>
      <w:r>
        <w:rPr>
          <w:rFonts w:ascii="Times New Roman" w:cs="Times New Roman" w:eastAsia="Times New Roman" w:hAnsi="Times New Roman"/>
          <w:sz w:val="20"/>
          <w:szCs w:val="20"/>
          <w:color w:val="auto"/>
        </w:rPr>
        <w:t>Our objectives are to obtain reasonable assurance about whether the financial statements as a whole are free of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performing an audit in accordance with GAAS, we:</w:t>
      </w:r>
    </w:p>
    <w:p>
      <w:pPr>
        <w:spacing w:after="0" w:line="221" w:lineRule="exact"/>
        <w:rPr>
          <w:sz w:val="20"/>
          <w:szCs w:val="20"/>
          <w:color w:val="auto"/>
        </w:rPr>
      </w:pPr>
    </w:p>
    <w:p>
      <w:pPr>
        <w:ind w:left="600" w:hanging="290"/>
        <w:spacing w:after="0"/>
        <w:tabs>
          <w:tab w:leader="none" w:pos="6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professional judgment and maintain professional skepticism throughout the audit.</w:t>
      </w:r>
    </w:p>
    <w:p>
      <w:pPr>
        <w:spacing w:after="0" w:line="221" w:lineRule="exact"/>
        <w:rPr>
          <w:rFonts w:ascii="Times New Roman" w:cs="Times New Roman" w:eastAsia="Times New Roman" w:hAnsi="Times New Roman"/>
          <w:sz w:val="20"/>
          <w:szCs w:val="20"/>
          <w:color w:val="auto"/>
        </w:rPr>
      </w:pPr>
    </w:p>
    <w:p>
      <w:pPr>
        <w:jc w:val="both"/>
        <w:ind w:left="600" w:hanging="290"/>
        <w:spacing w:after="0" w:line="260" w:lineRule="auto"/>
        <w:tabs>
          <w:tab w:leader="none" w:pos="595"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179" w:lineRule="exact"/>
        <w:rPr>
          <w:rFonts w:ascii="Times New Roman" w:cs="Times New Roman" w:eastAsia="Times New Roman" w:hAnsi="Times New Roman"/>
          <w:sz w:val="20"/>
          <w:szCs w:val="20"/>
          <w:color w:val="auto"/>
        </w:rPr>
      </w:pPr>
    </w:p>
    <w:p>
      <w:pPr>
        <w:jc w:val="both"/>
        <w:ind w:left="600" w:hanging="290"/>
        <w:spacing w:after="0" w:line="254" w:lineRule="auto"/>
        <w:tabs>
          <w:tab w:leader="none" w:pos="595"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2</w:t>
      </w:r>
    </w:p>
    <w:p>
      <w:pPr>
        <w:spacing w:after="0" w:line="73" w:lineRule="exact"/>
        <w:rPr>
          <w:sz w:val="20"/>
          <w:szCs w:val="20"/>
          <w:color w:val="auto"/>
        </w:rPr>
      </w:pPr>
    </w:p>
    <w:p>
      <w:pPr>
        <w:ind w:left="20"/>
        <w:spacing w:after="0"/>
        <w:rPr>
          <w:sz w:val="20"/>
          <w:szCs w:val="20"/>
          <w:color w:val="auto"/>
        </w:rPr>
      </w:pPr>
      <w:r>
        <w:rPr>
          <w:rFonts w:ascii="Calibri" w:cs="Calibri" w:eastAsia="Calibri" w:hAnsi="Calibri"/>
          <w:sz w:val="9"/>
          <w:szCs w:val="9"/>
          <w:color w:val="auto"/>
        </w:rPr>
        <w:t>A member frm of Ernst &amp; Young Global Limited</w:t>
      </w:r>
    </w:p>
    <w:p>
      <w:pPr>
        <w:sectPr>
          <w:pgSz w:w="11900" w:h="16838" w:orient="portrait"/>
          <w:cols w:equalWidth="0" w:num="1">
            <w:col w:w="11120"/>
          </w:cols>
          <w:pgMar w:left="300" w:top="1440" w:right="47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619125" cy="742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19125" cy="742950"/>
                    </a:xfrm>
                    <a:prstGeom prst="rect">
                      <a:avLst/>
                    </a:prstGeom>
                    <a:noFill/>
                  </pic:spPr>
                </pic:pic>
              </a:graphicData>
            </a:graphic>
          </wp:anchor>
        </w:drawing>
      </w:r>
    </w:p>
    <w:p>
      <w:pPr>
        <w:spacing w:after="0" w:line="230" w:lineRule="exact"/>
        <w:rPr>
          <w:sz w:val="20"/>
          <w:szCs w:val="20"/>
          <w:color w:val="auto"/>
        </w:rPr>
      </w:pPr>
    </w:p>
    <w:p>
      <w:pPr>
        <w:ind w:left="600" w:right="140" w:hanging="290"/>
        <w:spacing w:after="0" w:line="266" w:lineRule="auto"/>
        <w:tabs>
          <w:tab w:leader="none" w:pos="59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 the appropriateness of accounting policies used and the reasonableness of significant accounting estimates made by management, as well as evaluate the overall presentation of the financial statements.</w:t>
      </w:r>
    </w:p>
    <w:p>
      <w:pPr>
        <w:spacing w:after="0" w:line="172" w:lineRule="exact"/>
        <w:rPr>
          <w:rFonts w:ascii="Times New Roman" w:cs="Times New Roman" w:eastAsia="Times New Roman" w:hAnsi="Times New Roman"/>
          <w:sz w:val="20"/>
          <w:szCs w:val="20"/>
          <w:color w:val="auto"/>
        </w:rPr>
      </w:pPr>
    </w:p>
    <w:p>
      <w:pPr>
        <w:ind w:left="600" w:right="140" w:hanging="290"/>
        <w:spacing w:after="0" w:line="266" w:lineRule="auto"/>
        <w:tabs>
          <w:tab w:leader="none" w:pos="59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Conclude whether, in our judgment, there are conditions or events considered in the aggregate, which raise substantial doubt about the Company’s ability to continue as a going concern for a reasonable period of time.</w:t>
      </w:r>
    </w:p>
    <w:p>
      <w:pPr>
        <w:spacing w:after="0" w:line="173" w:lineRule="exact"/>
        <w:rPr>
          <w:sz w:val="20"/>
          <w:szCs w:val="20"/>
          <w:color w:val="auto"/>
        </w:rPr>
      </w:pPr>
    </w:p>
    <w:p>
      <w:pPr>
        <w:ind w:left="20" w:hanging="7"/>
        <w:spacing w:after="0" w:line="266" w:lineRule="auto"/>
        <w:rPr>
          <w:sz w:val="20"/>
          <w:szCs w:val="20"/>
          <w:color w:val="auto"/>
        </w:rPr>
      </w:pPr>
      <w:r>
        <w:rPr>
          <w:rFonts w:ascii="Times New Roman" w:cs="Times New Roman" w:eastAsia="Times New Roman" w:hAnsi="Times New Roman"/>
          <w:sz w:val="20"/>
          <w:szCs w:val="20"/>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/s/Ernst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22,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61" w:lineRule="exact"/>
        <w:rPr>
          <w:sz w:val="20"/>
          <w:szCs w:val="20"/>
          <w:color w:val="auto"/>
        </w:rPr>
      </w:pPr>
    </w:p>
    <w:p>
      <w:pPr>
        <w:ind w:left="20"/>
        <w:spacing w:after="0"/>
        <w:rPr>
          <w:sz w:val="20"/>
          <w:szCs w:val="20"/>
          <w:color w:val="auto"/>
        </w:rPr>
      </w:pPr>
      <w:r>
        <w:rPr>
          <w:rFonts w:ascii="Calibri" w:cs="Calibri" w:eastAsia="Calibri" w:hAnsi="Calibri"/>
          <w:sz w:val="9"/>
          <w:szCs w:val="9"/>
          <w:color w:val="auto"/>
        </w:rPr>
        <w:t>A member frm of Ernst &amp; Young Global Limited</w:t>
      </w:r>
    </w:p>
    <w:p>
      <w:pPr>
        <w:sectPr>
          <w:pgSz w:w="11900" w:h="16838" w:orient="portrait"/>
          <w:cols w:equalWidth="0" w:num="1">
            <w:col w:w="11260"/>
          </w:cols>
          <w:pgMar w:left="300" w:top="144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68" w:lineRule="exact"/>
        <w:rPr>
          <w:sz w:val="20"/>
          <w:szCs w:val="20"/>
          <w:color w:val="auto"/>
        </w:rPr>
      </w:pPr>
    </w:p>
    <w:tbl>
      <w:tblPr>
        <w:tblLayout w:type="fixed"/>
        <w:tblInd w:w="48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860" w:type="dxa"/>
            <w:vAlign w:val="bottom"/>
          </w:tcPr>
          <w:p>
            <w:pPr>
              <w:spacing w:after="0"/>
              <w:rPr>
                <w:sz w:val="14"/>
                <w:szCs w:val="14"/>
                <w:color w:val="auto"/>
              </w:rPr>
            </w:pPr>
          </w:p>
        </w:tc>
      </w:tr>
      <w:tr>
        <w:trPr>
          <w:trHeight w:val="169"/>
        </w:trPr>
        <w:tc>
          <w:tcPr>
            <w:tcW w:w="5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76"/>
        </w:trPr>
        <w:tc>
          <w:tcPr>
            <w:tcW w:w="5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60" w:type="dxa"/>
            <w:vAlign w:val="bottom"/>
          </w:tcPr>
          <w:p>
            <w:pPr>
              <w:spacing w:after="0"/>
              <w:rPr>
                <w:sz w:val="15"/>
                <w:szCs w:val="15"/>
                <w:color w:val="auto"/>
              </w:rPr>
            </w:pPr>
          </w:p>
        </w:tc>
      </w:tr>
      <w:tr>
        <w:trPr>
          <w:trHeight w:val="35"/>
        </w:trPr>
        <w:tc>
          <w:tcPr>
            <w:tcW w:w="54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6"/>
        </w:trPr>
        <w:tc>
          <w:tcPr>
            <w:tcW w:w="5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43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ind w:right="435"/>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35"/>
        </w:trPr>
        <w:tc>
          <w:tcPr>
            <w:tcW w:w="54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92"/>
        </w:trPr>
        <w:tc>
          <w:tcPr>
            <w:tcW w:w="5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172"/>
        </w:trPr>
        <w:tc>
          <w:tcPr>
            <w:tcW w:w="5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Current assets: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7"/>
        </w:trPr>
        <w:tc>
          <w:tcPr>
            <w:tcW w:w="5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199"/>
        </w:trPr>
        <w:tc>
          <w:tcPr>
            <w:tcW w:w="5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6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11,358,793</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55"/>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63,641,254</w:t>
            </w:r>
          </w:p>
        </w:tc>
      </w:tr>
      <w:tr>
        <w:trPr>
          <w:trHeight w:val="184"/>
        </w:trPr>
        <w:tc>
          <w:tcPr>
            <w:tcW w:w="54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Accounts receivable, net of allowances for credit losses</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19,746,822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15,315,273</w:t>
            </w:r>
          </w:p>
        </w:tc>
      </w:tr>
      <w:tr>
        <w:trPr>
          <w:trHeight w:val="35"/>
        </w:trPr>
        <w:tc>
          <w:tcPr>
            <w:tcW w:w="5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99"/>
        </w:trPr>
        <w:tc>
          <w:tcPr>
            <w:tcW w:w="5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7,215,935</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8,554,754</w:t>
            </w:r>
          </w:p>
        </w:tc>
      </w:tr>
      <w:tr>
        <w:trPr>
          <w:trHeight w:val="184"/>
        </w:trPr>
        <w:tc>
          <w:tcPr>
            <w:tcW w:w="54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Deferred sales commissions</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1,081,752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r>
      <w:tr>
        <w:trPr>
          <w:trHeight w:val="35"/>
        </w:trPr>
        <w:tc>
          <w:tcPr>
            <w:tcW w:w="54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92"/>
        </w:trPr>
        <w:tc>
          <w:tcPr>
            <w:tcW w:w="54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Total current assets</w:t>
            </w:r>
          </w:p>
        </w:tc>
        <w:tc>
          <w:tcPr>
            <w:tcW w:w="2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39,403,302</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87,511,281</w:t>
            </w:r>
          </w:p>
        </w:tc>
      </w:tr>
      <w:tr>
        <w:trPr>
          <w:trHeight w:val="219"/>
        </w:trPr>
        <w:tc>
          <w:tcPr>
            <w:tcW w:w="5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99"/>
        </w:trPr>
        <w:tc>
          <w:tcPr>
            <w:tcW w:w="54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355,657</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105,779</w:t>
            </w:r>
          </w:p>
        </w:tc>
      </w:tr>
      <w:tr>
        <w:trPr>
          <w:trHeight w:val="184"/>
        </w:trPr>
        <w:tc>
          <w:tcPr>
            <w:tcW w:w="5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Right of use assets, net</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353,186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883,912</w:t>
            </w:r>
          </w:p>
        </w:tc>
      </w:tr>
      <w:tr>
        <w:trPr>
          <w:trHeight w:val="35"/>
        </w:trPr>
        <w:tc>
          <w:tcPr>
            <w:tcW w:w="5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99"/>
        </w:trPr>
        <w:tc>
          <w:tcPr>
            <w:tcW w:w="54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Deferred sales commissions, non-current</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2,580,173</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5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Intangibles, net</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55,099,291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65,678,955</w:t>
            </w:r>
          </w:p>
        </w:tc>
      </w:tr>
      <w:tr>
        <w:trPr>
          <w:trHeight w:val="35"/>
        </w:trPr>
        <w:tc>
          <w:tcPr>
            <w:tcW w:w="5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99"/>
        </w:trPr>
        <w:tc>
          <w:tcPr>
            <w:tcW w:w="54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Goodwill</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107,307,336</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107,535,026</w:t>
            </w:r>
          </w:p>
        </w:tc>
      </w:tr>
      <w:tr>
        <w:trPr>
          <w:trHeight w:val="184"/>
        </w:trPr>
        <w:tc>
          <w:tcPr>
            <w:tcW w:w="5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Deferred financing costs</w:t>
            </w:r>
          </w:p>
        </w:tc>
        <w:tc>
          <w:tcPr>
            <w:tcW w:w="26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6"/>
                <w:szCs w:val="16"/>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6,757,897</w:t>
            </w:r>
          </w:p>
        </w:tc>
      </w:tr>
      <w:tr>
        <w:trPr>
          <w:trHeight w:val="35"/>
        </w:trPr>
        <w:tc>
          <w:tcPr>
            <w:tcW w:w="5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19"/>
        </w:trPr>
        <w:tc>
          <w:tcPr>
            <w:tcW w:w="54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non-current assets</w:t>
            </w: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2,796,917</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706,949</w:t>
            </w:r>
          </w:p>
        </w:tc>
      </w:tr>
      <w:tr>
        <w:trPr>
          <w:trHeight w:val="176"/>
        </w:trPr>
        <w:tc>
          <w:tcPr>
            <w:tcW w:w="544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Total assets</w:t>
            </w:r>
          </w:p>
        </w:tc>
        <w:tc>
          <w:tcPr>
            <w:tcW w:w="260" w:type="dxa"/>
            <w:vAlign w:val="bottom"/>
            <w:tcBorders>
              <w:top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207,895,862</w:t>
            </w:r>
          </w:p>
        </w:tc>
        <w:tc>
          <w:tcPr>
            <w:tcW w:w="120" w:type="dxa"/>
            <w:vAlign w:val="bottom"/>
          </w:tcPr>
          <w:p>
            <w:pPr>
              <w:spacing w:after="0"/>
              <w:rPr>
                <w:sz w:val="15"/>
                <w:szCs w:val="15"/>
                <w:color w:val="auto"/>
              </w:rPr>
            </w:pPr>
          </w:p>
        </w:tc>
        <w:tc>
          <w:tcPr>
            <w:tcW w:w="40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269,179,799</w:t>
            </w:r>
          </w:p>
        </w:tc>
      </w:tr>
      <w:tr>
        <w:trPr>
          <w:trHeight w:val="75"/>
        </w:trPr>
        <w:tc>
          <w:tcPr>
            <w:tcW w:w="544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r>
      <w:tr>
        <w:trPr>
          <w:trHeight w:val="196"/>
        </w:trPr>
        <w:tc>
          <w:tcPr>
            <w:tcW w:w="5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84"/>
        </w:trPr>
        <w:tc>
          <w:tcPr>
            <w:tcW w:w="5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LIABILITIES, CONVERTIBLE REDEEMABLE PREFERRED STOCK AND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1"/>
        </w:trPr>
        <w:tc>
          <w:tcPr>
            <w:tcW w:w="54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STOCKHOLDERS' DEFICIT</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7"/>
        </w:trPr>
        <w:tc>
          <w:tcPr>
            <w:tcW w:w="5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199"/>
        </w:trPr>
        <w:tc>
          <w:tcPr>
            <w:tcW w:w="54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Current liabilities:</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r>
      <w:tr>
        <w:trPr>
          <w:trHeight w:val="184"/>
        </w:trPr>
        <w:tc>
          <w:tcPr>
            <w:tcW w:w="54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Accounts payable</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6,874,163</w:t>
            </w:r>
          </w:p>
        </w:tc>
        <w:tc>
          <w:tcPr>
            <w:tcW w:w="120" w:type="dxa"/>
            <w:vAlign w:val="bottom"/>
          </w:tcPr>
          <w:p>
            <w:pPr>
              <w:spacing w:after="0"/>
              <w:rPr>
                <w:sz w:val="16"/>
                <w:szCs w:val="16"/>
                <w:color w:val="auto"/>
              </w:rPr>
            </w:pPr>
          </w:p>
        </w:tc>
        <w:tc>
          <w:tcPr>
            <w:tcW w:w="40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16,461,916</w:t>
            </w:r>
          </w:p>
        </w:tc>
      </w:tr>
      <w:tr>
        <w:trPr>
          <w:trHeight w:val="35"/>
        </w:trPr>
        <w:tc>
          <w:tcPr>
            <w:tcW w:w="5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99"/>
        </w:trPr>
        <w:tc>
          <w:tcPr>
            <w:tcW w:w="5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20,308,300</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20,683,027</w:t>
            </w:r>
          </w:p>
        </w:tc>
      </w:tr>
      <w:tr>
        <w:trPr>
          <w:trHeight w:val="184"/>
        </w:trPr>
        <w:tc>
          <w:tcPr>
            <w:tcW w:w="54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Current portion of debt</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88,708,173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r>
      <w:tr>
        <w:trPr>
          <w:trHeight w:val="35"/>
        </w:trPr>
        <w:tc>
          <w:tcPr>
            <w:tcW w:w="5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99"/>
        </w:trPr>
        <w:tc>
          <w:tcPr>
            <w:tcW w:w="5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Contingent value right liability</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9,667,326</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10,568,268</w:t>
            </w:r>
          </w:p>
        </w:tc>
      </w:tr>
      <w:tr>
        <w:trPr>
          <w:trHeight w:val="184"/>
        </w:trPr>
        <w:tc>
          <w:tcPr>
            <w:tcW w:w="54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Short-term lease obligations</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230,451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438,312</w:t>
            </w:r>
          </w:p>
        </w:tc>
      </w:tr>
      <w:tr>
        <w:trPr>
          <w:trHeight w:val="35"/>
        </w:trPr>
        <w:tc>
          <w:tcPr>
            <w:tcW w:w="5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99"/>
        </w:trPr>
        <w:tc>
          <w:tcPr>
            <w:tcW w:w="5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Due to related party</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1,394,565</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54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Deferred revenues</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26,646,326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28,527,980</w:t>
            </w:r>
          </w:p>
        </w:tc>
      </w:tr>
      <w:tr>
        <w:trPr>
          <w:trHeight w:val="35"/>
        </w:trPr>
        <w:tc>
          <w:tcPr>
            <w:tcW w:w="54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92"/>
        </w:trPr>
        <w:tc>
          <w:tcPr>
            <w:tcW w:w="54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153,829,304</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76,679,503</w:t>
            </w:r>
          </w:p>
        </w:tc>
      </w:tr>
      <w:tr>
        <w:trPr>
          <w:trHeight w:val="219"/>
        </w:trPr>
        <w:tc>
          <w:tcPr>
            <w:tcW w:w="5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99"/>
        </w:trPr>
        <w:tc>
          <w:tcPr>
            <w:tcW w:w="54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Long-term debt</w:t>
            </w: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71,350,820</w:t>
            </w:r>
          </w:p>
        </w:tc>
      </w:tr>
      <w:tr>
        <w:trPr>
          <w:trHeight w:val="184"/>
        </w:trPr>
        <w:tc>
          <w:tcPr>
            <w:tcW w:w="5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Deferred revenue, non-current</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12,292,181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12,592,507</w:t>
            </w:r>
          </w:p>
        </w:tc>
      </w:tr>
      <w:tr>
        <w:trPr>
          <w:trHeight w:val="35"/>
        </w:trPr>
        <w:tc>
          <w:tcPr>
            <w:tcW w:w="5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99"/>
        </w:trPr>
        <w:tc>
          <w:tcPr>
            <w:tcW w:w="54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Deferred tax liabilities</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12,665,290</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12,201,592</w:t>
            </w:r>
          </w:p>
        </w:tc>
      </w:tr>
      <w:tr>
        <w:trPr>
          <w:trHeight w:val="184"/>
        </w:trPr>
        <w:tc>
          <w:tcPr>
            <w:tcW w:w="54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4,779,215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3,696,156</w:t>
            </w:r>
          </w:p>
        </w:tc>
      </w:tr>
      <w:tr>
        <w:trPr>
          <w:trHeight w:val="35"/>
        </w:trPr>
        <w:tc>
          <w:tcPr>
            <w:tcW w:w="54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12"/>
        </w:trPr>
        <w:tc>
          <w:tcPr>
            <w:tcW w:w="54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Total liabilities</w:t>
            </w: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183,565,990</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176,520,578</w:t>
            </w:r>
          </w:p>
        </w:tc>
      </w:tr>
      <w:tr>
        <w:trPr>
          <w:trHeight w:val="224"/>
        </w:trPr>
        <w:tc>
          <w:tcPr>
            <w:tcW w:w="54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199"/>
        </w:trPr>
        <w:tc>
          <w:tcPr>
            <w:tcW w:w="54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Commitments and contingencies</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r>
      <w:tr>
        <w:trPr>
          <w:trHeight w:val="219"/>
        </w:trPr>
        <w:tc>
          <w:tcPr>
            <w:tcW w:w="5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99"/>
        </w:trPr>
        <w:tc>
          <w:tcPr>
            <w:tcW w:w="54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Preferred Stock Series A-1 and A-2, $0.001 par value; 16,034,483 shares</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r>
      <w:tr>
        <w:trPr>
          <w:trHeight w:val="172"/>
        </w:trPr>
        <w:tc>
          <w:tcPr>
            <w:tcW w:w="54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authorized; 7,780,941 shares issued and outstanding. Aggregate liquidation preference of</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7"/>
        </w:trPr>
        <w:tc>
          <w:tcPr>
            <w:tcW w:w="5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19"/>
        </w:trPr>
        <w:tc>
          <w:tcPr>
            <w:tcW w:w="5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$251,900,428 and $226,939,186 as of December 31, 2023 and 2022, respectively</w:t>
            </w: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251,900,428</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226,939,186</w:t>
            </w:r>
          </w:p>
        </w:tc>
      </w:tr>
      <w:tr>
        <w:trPr>
          <w:trHeight w:val="212"/>
        </w:trPr>
        <w:tc>
          <w:tcPr>
            <w:tcW w:w="54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199"/>
        </w:trPr>
        <w:tc>
          <w:tcPr>
            <w:tcW w:w="54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Stockholders’ deficit:</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r>
      <w:tr>
        <w:trPr>
          <w:trHeight w:val="184"/>
        </w:trPr>
        <w:tc>
          <w:tcPr>
            <w:tcW w:w="54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Class A and Class B Common Stock, $0.001 par value; 253,933,170 shares authorized;</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100,000</w:t>
            </w:r>
          </w:p>
        </w:tc>
      </w:tr>
      <w:tr>
        <w:trPr>
          <w:trHeight w:val="35"/>
        </w:trPr>
        <w:tc>
          <w:tcPr>
            <w:tcW w:w="5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99"/>
        </w:trPr>
        <w:tc>
          <w:tcPr>
            <w:tcW w:w="54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100,000,000 shares issued and outstanding as of December 31, 2023 and 2022</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r>
      <w:tr>
        <w:trPr>
          <w:trHeight w:val="184"/>
        </w:trPr>
        <w:tc>
          <w:tcPr>
            <w:tcW w:w="54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6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6"/>
                <w:szCs w:val="16"/>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r>
      <w:tr>
        <w:trPr>
          <w:trHeight w:val="35"/>
        </w:trPr>
        <w:tc>
          <w:tcPr>
            <w:tcW w:w="5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99"/>
        </w:trPr>
        <w:tc>
          <w:tcPr>
            <w:tcW w:w="5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Accumulated deficit</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(225,769,829)</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(134,379,394)</w:t>
            </w:r>
          </w:p>
        </w:tc>
      </w:tr>
      <w:tr>
        <w:trPr>
          <w:trHeight w:val="184"/>
        </w:trPr>
        <w:tc>
          <w:tcPr>
            <w:tcW w:w="54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(1,900,727)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(571)</w:t>
            </w:r>
          </w:p>
        </w:tc>
      </w:tr>
      <w:tr>
        <w:trPr>
          <w:trHeight w:val="35"/>
        </w:trPr>
        <w:tc>
          <w:tcPr>
            <w:tcW w:w="54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12"/>
        </w:trPr>
        <w:tc>
          <w:tcPr>
            <w:tcW w:w="54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Total stockholders’ deficit</w:t>
            </w: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(227,570,556)</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(134,279,965)</w:t>
            </w:r>
          </w:p>
        </w:tc>
      </w:tr>
      <w:tr>
        <w:trPr>
          <w:trHeight w:val="176"/>
        </w:trPr>
        <w:tc>
          <w:tcPr>
            <w:tcW w:w="544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Total liabilities, convertible redeemable preferred stock and stockholders’ deficit</w:t>
            </w:r>
          </w:p>
        </w:tc>
        <w:tc>
          <w:tcPr>
            <w:tcW w:w="260" w:type="dxa"/>
            <w:vAlign w:val="bottom"/>
            <w:tcBorders>
              <w:top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207,895,862</w:t>
            </w:r>
          </w:p>
        </w:tc>
        <w:tc>
          <w:tcPr>
            <w:tcW w:w="120" w:type="dxa"/>
            <w:vAlign w:val="bottom"/>
          </w:tcPr>
          <w:p>
            <w:pPr>
              <w:spacing w:after="0"/>
              <w:rPr>
                <w:sz w:val="15"/>
                <w:szCs w:val="15"/>
                <w:color w:val="auto"/>
              </w:rPr>
            </w:pPr>
          </w:p>
        </w:tc>
        <w:tc>
          <w:tcPr>
            <w:tcW w:w="40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color w:val="auto"/>
              </w:rPr>
              <w:t>269,179,799</w:t>
            </w:r>
          </w:p>
        </w:tc>
      </w:tr>
      <w:tr>
        <w:trPr>
          <w:trHeight w:val="35"/>
        </w:trPr>
        <w:tc>
          <w:tcPr>
            <w:tcW w:w="54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0"/>
        </w:trPr>
        <w:tc>
          <w:tcPr>
            <w:tcW w:w="5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See accompanying notes.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9019"/>
          </w:cols>
          <w:pgMar w:left="1440" w:top="1048" w:right="1440" w:bottom="1440" w:gutter="0" w:footer="0" w:header="0"/>
        </w:sectPr>
      </w:pPr>
    </w:p>
    <w:bookmarkStart w:id="10" w:name="page11"/>
    <w:bookmarkEnd w:id="10"/>
    <w:p>
      <w:pPr>
        <w:spacing w:after="0" w:line="2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3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CONSOLIDATED AND COMBINED STATEMENTS OF</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480" w:type="dxa"/>
        <w:tblCellMar>
          <w:top w:w="0" w:type="dxa"/>
          <w:left w:w="0" w:type="dxa"/>
          <w:bottom w:w="0" w:type="dxa"/>
          <w:right w:w="0" w:type="dxa"/>
        </w:tblCellMar>
      </w:tblPr>
      <w:tr>
        <w:trPr>
          <w:trHeight w:val="183"/>
        </w:trPr>
        <w:tc>
          <w:tcPr>
            <w:tcW w:w="3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r>
      <w:tr>
        <w:trPr>
          <w:trHeight w:val="232"/>
        </w:trPr>
        <w:tc>
          <w:tcPr>
            <w:tcW w:w="3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7"/>
              </w:rPr>
              <w:t>(Combined)</w:t>
            </w:r>
          </w:p>
        </w:tc>
      </w:tr>
      <w:tr>
        <w:trPr>
          <w:trHeight w:val="31"/>
        </w:trPr>
        <w:tc>
          <w:tcPr>
            <w:tcW w:w="3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290"/>
        </w:trPr>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Period from December</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Period from January 1,</w:t>
            </w:r>
          </w:p>
        </w:tc>
      </w:tr>
      <w:tr>
        <w:trPr>
          <w:trHeight w:val="195"/>
        </w:trPr>
        <w:tc>
          <w:tcPr>
            <w:tcW w:w="3540" w:type="dxa"/>
            <w:vAlign w:val="bottom"/>
          </w:tcPr>
          <w:p>
            <w:pPr>
              <w:spacing w:after="0"/>
              <w:rPr>
                <w:sz w:val="16"/>
                <w:szCs w:val="16"/>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21, 2022 to December</w:t>
            </w:r>
          </w:p>
        </w:tc>
        <w:tc>
          <w:tcPr>
            <w:tcW w:w="120" w:type="dxa"/>
            <w:vAlign w:val="bottom"/>
          </w:tcPr>
          <w:p>
            <w:pPr>
              <w:spacing w:after="0"/>
              <w:rPr>
                <w:sz w:val="16"/>
                <w:szCs w:val="16"/>
                <w:color w:val="auto"/>
              </w:rPr>
            </w:pPr>
          </w:p>
        </w:tc>
        <w:tc>
          <w:tcPr>
            <w:tcW w:w="132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7"/>
              </w:rPr>
              <w:t>2022 through</w:t>
            </w:r>
          </w:p>
        </w:tc>
      </w:tr>
      <w:tr>
        <w:trPr>
          <w:trHeight w:val="206"/>
        </w:trPr>
        <w:tc>
          <w:tcPr>
            <w:tcW w:w="35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71"/>
              <w:spacing w:after="0"/>
              <w:rPr>
                <w:sz w:val="20"/>
                <w:szCs w:val="20"/>
                <w:color w:val="auto"/>
              </w:rPr>
            </w:pPr>
            <w:r>
              <w:rPr>
                <w:rFonts w:ascii="Times New Roman" w:cs="Times New Roman" w:eastAsia="Times New Roman" w:hAnsi="Times New Roman"/>
                <w:sz w:val="14"/>
                <w:szCs w:val="14"/>
                <w:b w:val="1"/>
                <w:bCs w:val="1"/>
                <w:color w:val="auto"/>
                <w:w w:val="97"/>
              </w:rPr>
              <w:t>31, 2022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8"/>
              </w:rPr>
              <w:t>December 20, 2022</w:t>
            </w:r>
          </w:p>
        </w:tc>
      </w:tr>
      <w:tr>
        <w:trPr>
          <w:trHeight w:val="232"/>
        </w:trPr>
        <w:tc>
          <w:tcPr>
            <w:tcW w:w="3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Revenue</w:t>
            </w:r>
          </w:p>
        </w:tc>
        <w:tc>
          <w:tcPr>
            <w:tcW w:w="2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93,274,273</w:t>
            </w: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2,628,105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78,298,349</w:t>
            </w:r>
          </w:p>
        </w:tc>
      </w:tr>
      <w:tr>
        <w:trPr>
          <w:trHeight w:val="168"/>
        </w:trPr>
        <w:tc>
          <w:tcPr>
            <w:tcW w:w="3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Operating Expenses</w:t>
            </w: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r>
      <w:tr>
        <w:trPr>
          <w:trHeight w:val="43"/>
        </w:trPr>
        <w:tc>
          <w:tcPr>
            <w:tcW w:w="3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178"/>
        </w:trPr>
        <w:tc>
          <w:tcPr>
            <w:tcW w:w="3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Cost of revenues (exclusive of depreciation and</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56,890,935</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1,405,842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45,174,237</w:t>
            </w:r>
          </w:p>
        </w:tc>
      </w:tr>
      <w:tr>
        <w:trPr>
          <w:trHeight w:val="200"/>
        </w:trPr>
        <w:tc>
          <w:tcPr>
            <w:tcW w:w="3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amortization)</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0"/>
        </w:trPr>
        <w:tc>
          <w:tcPr>
            <w:tcW w:w="3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13,582,104</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283,783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9,883,905</w:t>
            </w:r>
          </w:p>
        </w:tc>
      </w:tr>
      <w:tr>
        <w:trPr>
          <w:trHeight w:val="31"/>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2"/>
        </w:trPr>
        <w:tc>
          <w:tcPr>
            <w:tcW w:w="3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Sales and marketing</w:t>
            </w: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25,059,789</w:t>
            </w: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1,205,427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24,145,614</w:t>
            </w:r>
          </w:p>
        </w:tc>
      </w:tr>
      <w:tr>
        <w:trPr>
          <w:trHeight w:val="200"/>
        </w:trPr>
        <w:tc>
          <w:tcPr>
            <w:tcW w:w="3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29,039,659</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10,306,465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32,151,975</w:t>
            </w:r>
          </w:p>
        </w:tc>
      </w:tr>
      <w:tr>
        <w:trPr>
          <w:trHeight w:val="31"/>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2"/>
        </w:trPr>
        <w:tc>
          <w:tcPr>
            <w:tcW w:w="3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12,094,909</w:t>
            </w: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324,363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2,259,093</w:t>
            </w:r>
          </w:p>
        </w:tc>
      </w:tr>
      <w:tr>
        <w:trPr>
          <w:trHeight w:val="193"/>
        </w:trPr>
        <w:tc>
          <w:tcPr>
            <w:tcW w:w="35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136,667,396</w:t>
            </w:r>
          </w:p>
        </w:tc>
        <w:tc>
          <w:tcPr>
            <w:tcW w:w="1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13,525,880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113,614,825</w:t>
            </w:r>
          </w:p>
        </w:tc>
      </w:tr>
      <w:tr>
        <w:trPr>
          <w:trHeight w:val="31"/>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4"/>
        </w:trPr>
        <w:tc>
          <w:tcPr>
            <w:tcW w:w="35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Loss from operations</w:t>
            </w: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(43,393,123)</w:t>
            </w: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(10,897,775)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(35,316,476)</w:t>
            </w:r>
          </w:p>
        </w:tc>
      </w:tr>
      <w:tr>
        <w:trPr>
          <w:trHeight w:val="212"/>
        </w:trPr>
        <w:tc>
          <w:tcPr>
            <w:tcW w:w="35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199"/>
        </w:trPr>
        <w:tc>
          <w:tcPr>
            <w:tcW w:w="3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income (expense), net:</w:t>
            </w: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r>
      <w:tr>
        <w:trPr>
          <w:trHeight w:val="200"/>
        </w:trPr>
        <w:tc>
          <w:tcPr>
            <w:tcW w:w="3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income (expense), net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(5,758,633)</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(301,205)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2,488,820</w:t>
            </w:r>
          </w:p>
        </w:tc>
      </w:tr>
      <w:tr>
        <w:trPr>
          <w:trHeight w:val="31"/>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2"/>
        </w:trPr>
        <w:tc>
          <w:tcPr>
            <w:tcW w:w="3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expense, net</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(16,782,137)</w:t>
            </w: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(407,420)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(6,596,317)</w:t>
            </w:r>
          </w:p>
        </w:tc>
      </w:tr>
      <w:tr>
        <w:trPr>
          <w:trHeight w:val="193"/>
        </w:trPr>
        <w:tc>
          <w:tcPr>
            <w:tcW w:w="35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(22,540,770)</w:t>
            </w:r>
          </w:p>
        </w:tc>
        <w:tc>
          <w:tcPr>
            <w:tcW w:w="1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(708,625)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(4,107,497)</w:t>
            </w:r>
          </w:p>
        </w:tc>
      </w:tr>
      <w:tr>
        <w:trPr>
          <w:trHeight w:val="31"/>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2"/>
        </w:trPr>
        <w:tc>
          <w:tcPr>
            <w:tcW w:w="3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0"/>
        </w:trPr>
        <w:tc>
          <w:tcPr>
            <w:tcW w:w="3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Loss before provision for income taxes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(65,933,893)</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(11,606,400)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(39,423,973)</w:t>
            </w:r>
          </w:p>
        </w:tc>
      </w:tr>
      <w:tr>
        <w:trPr>
          <w:trHeight w:val="31"/>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2"/>
        </w:trPr>
        <w:tc>
          <w:tcPr>
            <w:tcW w:w="3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(495,300)</w:t>
            </w: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(549,339)</w:t>
            </w:r>
          </w:p>
        </w:tc>
      </w:tr>
      <w:tr>
        <w:trPr>
          <w:trHeight w:val="193"/>
        </w:trPr>
        <w:tc>
          <w:tcPr>
            <w:tcW w:w="3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loss</w:t>
            </w:r>
          </w:p>
        </w:tc>
        <w:tc>
          <w:tcPr>
            <w:tcW w:w="2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(66,429,193)</w:t>
            </w:r>
          </w:p>
        </w:tc>
        <w:tc>
          <w:tcPr>
            <w:tcW w:w="140" w:type="dxa"/>
            <w:vAlign w:val="bottom"/>
          </w:tcPr>
          <w:p>
            <w:pPr>
              <w:spacing w:after="0"/>
              <w:rPr>
                <w:sz w:val="16"/>
                <w:szCs w:val="16"/>
                <w:color w:val="auto"/>
              </w:rPr>
            </w:pPr>
          </w:p>
        </w:tc>
        <w:tc>
          <w:tcPr>
            <w:tcW w:w="420" w:type="dxa"/>
            <w:vAlign w:val="bottom"/>
            <w:tcBorders>
              <w:top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(11,606,400)</w:t>
            </w:r>
          </w:p>
        </w:tc>
        <w:tc>
          <w:tcPr>
            <w:tcW w:w="100" w:type="dxa"/>
            <w:vAlign w:val="bottom"/>
          </w:tcPr>
          <w:p>
            <w:pPr>
              <w:spacing w:after="0"/>
              <w:rPr>
                <w:sz w:val="16"/>
                <w:szCs w:val="16"/>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(39,973,312)</w:t>
            </w:r>
          </w:p>
        </w:tc>
      </w:tr>
      <w:tr>
        <w:trPr>
          <w:trHeight w:val="31"/>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2"/>
        </w:trPr>
        <w:tc>
          <w:tcPr>
            <w:tcW w:w="3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188"/>
        </w:trPr>
        <w:tc>
          <w:tcPr>
            <w:tcW w:w="3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1"/>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2"/>
        </w:trPr>
        <w:tc>
          <w:tcPr>
            <w:tcW w:w="3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(1,900,156)</w:t>
            </w: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(150,356)</w:t>
            </w:r>
          </w:p>
        </w:tc>
      </w:tr>
      <w:tr>
        <w:trPr>
          <w:trHeight w:val="193"/>
        </w:trPr>
        <w:tc>
          <w:tcPr>
            <w:tcW w:w="3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 comprehensive loss</w:t>
            </w:r>
          </w:p>
        </w:tc>
        <w:tc>
          <w:tcPr>
            <w:tcW w:w="2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(68,329,349)</w:t>
            </w:r>
          </w:p>
        </w:tc>
        <w:tc>
          <w:tcPr>
            <w:tcW w:w="140" w:type="dxa"/>
            <w:vAlign w:val="bottom"/>
          </w:tcPr>
          <w:p>
            <w:pPr>
              <w:spacing w:after="0"/>
              <w:rPr>
                <w:sz w:val="16"/>
                <w:szCs w:val="16"/>
                <w:color w:val="auto"/>
              </w:rPr>
            </w:pPr>
          </w:p>
        </w:tc>
        <w:tc>
          <w:tcPr>
            <w:tcW w:w="420" w:type="dxa"/>
            <w:vAlign w:val="bottom"/>
            <w:tcBorders>
              <w:top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(11,606,971)</w:t>
            </w:r>
          </w:p>
        </w:tc>
        <w:tc>
          <w:tcPr>
            <w:tcW w:w="100" w:type="dxa"/>
            <w:vAlign w:val="bottom"/>
          </w:tcPr>
          <w:p>
            <w:pPr>
              <w:spacing w:after="0"/>
              <w:rPr>
                <w:sz w:val="16"/>
                <w:szCs w:val="16"/>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(40,123,668)</w:t>
            </w:r>
          </w:p>
        </w:tc>
      </w:tr>
      <w:tr>
        <w:trPr>
          <w:trHeight w:val="31"/>
        </w:trPr>
        <w:tc>
          <w:tcPr>
            <w:tcW w:w="3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9019"/>
          </w:cols>
          <w:pgMar w:left="1440" w:top="1440" w:right="1440" w:bottom="1440" w:gutter="0" w:footer="0" w:header="0"/>
        </w:sectPr>
      </w:pPr>
    </w:p>
    <w:bookmarkStart w:id="11" w:name="page12"/>
    <w:bookmarkEnd w:id="11"/>
    <w:p>
      <w:pPr>
        <w:spacing w:after="0" w:line="4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3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6"/>
          <w:szCs w:val="16"/>
          <w:b w:val="1"/>
          <w:bCs w:val="1"/>
          <w:color w:val="auto"/>
        </w:rPr>
        <w:t>CONSOLIDATED AND COMBINED STATEMENTS OF CHANGES IN</w:t>
      </w:r>
    </w:p>
    <w:p>
      <w:pPr>
        <w:spacing w:after="0" w:line="2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CONVERTIBLE REDEEMABLE STOCK AND STOCKHOLDERS’ DEFICIT AND PARENT INVESTMENT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760" w:type="dxa"/>
            <w:vAlign w:val="bottom"/>
          </w:tcPr>
          <w:p>
            <w:pPr>
              <w:spacing w:after="0"/>
              <w:rPr>
                <w:sz w:val="15"/>
                <w:szCs w:val="15"/>
                <w:color w:val="auto"/>
              </w:rPr>
            </w:pPr>
          </w:p>
        </w:tc>
        <w:tc>
          <w:tcPr>
            <w:tcW w:w="16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Convertible Redeemable Senior</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8"/>
        </w:trPr>
        <w:tc>
          <w:tcPr>
            <w:tcW w:w="2760" w:type="dxa"/>
            <w:vAlign w:val="bottom"/>
          </w:tcPr>
          <w:p>
            <w:pPr>
              <w:spacing w:after="0"/>
              <w:rPr>
                <w:sz w:val="8"/>
                <w:szCs w:val="8"/>
                <w:color w:val="auto"/>
              </w:rPr>
            </w:pPr>
          </w:p>
        </w:tc>
        <w:tc>
          <w:tcPr>
            <w:tcW w:w="1720" w:type="dxa"/>
            <w:vAlign w:val="bottom"/>
            <w:tcBorders>
              <w:right w:val="single" w:sz="8" w:color="auto"/>
            </w:tcBorders>
            <w:gridSpan w:val="4"/>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100" w:type="dxa"/>
            <w:vAlign w:val="bottom"/>
          </w:tcPr>
          <w:p>
            <w:pPr>
              <w:spacing w:after="0"/>
              <w:rPr>
                <w:sz w:val="8"/>
                <w:szCs w:val="8"/>
                <w:color w:val="auto"/>
              </w:rPr>
            </w:pPr>
          </w:p>
        </w:tc>
        <w:tc>
          <w:tcPr>
            <w:tcW w:w="980" w:type="dxa"/>
            <w:vAlign w:val="bottom"/>
            <w:gridSpan w:val="2"/>
            <w:vMerge w:val="restart"/>
          </w:tcPr>
          <w:p>
            <w:pPr>
              <w:jc w:val="center"/>
              <w:ind w:left="483"/>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52"/>
        </w:trPr>
        <w:tc>
          <w:tcPr>
            <w:tcW w:w="2760" w:type="dxa"/>
            <w:vAlign w:val="bottom"/>
          </w:tcPr>
          <w:p>
            <w:pPr>
              <w:spacing w:after="0"/>
              <w:rPr>
                <w:sz w:val="4"/>
                <w:szCs w:val="4"/>
                <w:color w:val="auto"/>
              </w:rPr>
            </w:pPr>
          </w:p>
        </w:tc>
        <w:tc>
          <w:tcPr>
            <w:tcW w:w="1720" w:type="dxa"/>
            <w:vAlign w:val="bottom"/>
            <w:tcBorders>
              <w:right w:val="single" w:sz="8" w:color="auto"/>
            </w:tcBorders>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2"/>
            <w:vMerge w:val="restart"/>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Other</w:t>
            </w: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2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Additional Paid-</w:t>
            </w:r>
          </w:p>
        </w:tc>
        <w:tc>
          <w:tcPr>
            <w:tcW w:w="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5"/>
                <w:szCs w:val="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Net Parent</w:t>
            </w: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760" w:type="dxa"/>
            <w:vAlign w:val="bottom"/>
          </w:tcPr>
          <w:p>
            <w:pPr>
              <w:spacing w:after="0"/>
              <w:rPr>
                <w:sz w:val="9"/>
                <w:szCs w:val="9"/>
                <w:color w:val="auto"/>
              </w:rPr>
            </w:pPr>
          </w:p>
        </w:tc>
        <w:tc>
          <w:tcPr>
            <w:tcW w:w="1720" w:type="dxa"/>
            <w:vAlign w:val="bottom"/>
            <w:tcBorders>
              <w:right w:val="single" w:sz="8" w:color="auto"/>
            </w:tcBorders>
            <w:gridSpan w:val="4"/>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00" w:type="dxa"/>
            <w:vAlign w:val="bottom"/>
          </w:tcPr>
          <w:p>
            <w:pPr>
              <w:spacing w:after="0"/>
              <w:rPr>
                <w:sz w:val="9"/>
                <w:szCs w:val="9"/>
                <w:color w:val="auto"/>
              </w:rPr>
            </w:pPr>
          </w:p>
        </w:tc>
        <w:tc>
          <w:tcPr>
            <w:tcW w:w="1680" w:type="dxa"/>
            <w:vAlign w:val="bottom"/>
            <w:gridSpan w:val="4"/>
          </w:tcPr>
          <w:p>
            <w:pPr>
              <w:jc w:val="center"/>
              <w:ind w:right="120"/>
              <w:spacing w:after="0" w:line="104"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0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center"/>
              <w:ind w:right="23"/>
              <w:spacing w:after="0" w:line="104"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28"/>
        </w:trPr>
        <w:tc>
          <w:tcPr>
            <w:tcW w:w="2760" w:type="dxa"/>
            <w:vAlign w:val="bottom"/>
          </w:tcPr>
          <w:p>
            <w:pPr>
              <w:spacing w:after="0"/>
              <w:rPr>
                <w:sz w:val="11"/>
                <w:szCs w:val="11"/>
                <w:color w:val="auto"/>
              </w:rPr>
            </w:pPr>
          </w:p>
        </w:tc>
        <w:tc>
          <w:tcPr>
            <w:tcW w:w="1720" w:type="dxa"/>
            <w:vAlign w:val="bottom"/>
            <w:tcBorders>
              <w:right w:val="single" w:sz="8" w:color="auto"/>
            </w:tcBorders>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In Capital</w:t>
            </w:r>
          </w:p>
        </w:tc>
        <w:tc>
          <w:tcPr>
            <w:tcW w:w="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4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00" w:type="dxa"/>
            <w:vAlign w:val="bottom"/>
          </w:tcPr>
          <w:p>
            <w:pPr>
              <w:spacing w:after="0"/>
              <w:rPr>
                <w:sz w:val="11"/>
                <w:szCs w:val="11"/>
                <w:color w:val="auto"/>
              </w:rPr>
            </w:pPr>
          </w:p>
        </w:tc>
        <w:tc>
          <w:tcPr>
            <w:tcW w:w="82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54"/>
        </w:trPr>
        <w:tc>
          <w:tcPr>
            <w:tcW w:w="27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Loss</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760" w:type="dxa"/>
            <w:vAlign w:val="bottom"/>
          </w:tcPr>
          <w:p>
            <w:pPr>
              <w:spacing w:after="0"/>
              <w:rPr>
                <w:sz w:val="14"/>
                <w:szCs w:val="14"/>
                <w:color w:val="auto"/>
              </w:rPr>
            </w:pPr>
          </w:p>
        </w:tc>
        <w:tc>
          <w:tcPr>
            <w:tcW w:w="760" w:type="dxa"/>
            <w:vAlign w:val="bottom"/>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4"/>
                <w:szCs w:val="14"/>
                <w:color w:val="auto"/>
              </w:rPr>
            </w:pPr>
          </w:p>
        </w:tc>
        <w:tc>
          <w:tcPr>
            <w:tcW w:w="7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4"/>
                <w:szCs w:val="14"/>
                <w:color w:val="auto"/>
              </w:rPr>
            </w:pPr>
          </w:p>
        </w:tc>
        <w:tc>
          <w:tcPr>
            <w:tcW w:w="780" w:type="dxa"/>
            <w:vAlign w:val="bottom"/>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76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Predecessor balance, December 31, 2021</w:t>
            </w: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(371,773)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(51,528,696)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(51,900,469)</w:t>
            </w:r>
          </w:p>
        </w:tc>
        <w:tc>
          <w:tcPr>
            <w:tcW w:w="0" w:type="dxa"/>
            <w:vAlign w:val="bottom"/>
          </w:tcPr>
          <w:p>
            <w:pPr>
              <w:spacing w:after="0"/>
              <w:rPr>
                <w:sz w:val="1"/>
                <w:szCs w:val="1"/>
                <w:color w:val="auto"/>
              </w:rPr>
            </w:pPr>
          </w:p>
        </w:tc>
      </w:tr>
      <w:tr>
        <w:trPr>
          <w:trHeight w:val="168"/>
        </w:trPr>
        <w:tc>
          <w:tcPr>
            <w:tcW w:w="2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transfer to parent</w:t>
            </w: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(10,370,391)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(10,370,391)</w:t>
            </w:r>
          </w:p>
        </w:tc>
        <w:tc>
          <w:tcPr>
            <w:tcW w:w="0" w:type="dxa"/>
            <w:vAlign w:val="bottom"/>
          </w:tcPr>
          <w:p>
            <w:pPr>
              <w:spacing w:after="0"/>
              <w:rPr>
                <w:sz w:val="1"/>
                <w:szCs w:val="1"/>
                <w:color w:val="auto"/>
              </w:rPr>
            </w:pPr>
          </w:p>
        </w:tc>
      </w:tr>
      <w:tr>
        <w:trPr>
          <w:trHeight w:val="39"/>
        </w:trPr>
        <w:tc>
          <w:tcPr>
            <w:tcW w:w="2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(150,356)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(150,356)</w:t>
            </w:r>
          </w:p>
        </w:tc>
        <w:tc>
          <w:tcPr>
            <w:tcW w:w="0" w:type="dxa"/>
            <w:vAlign w:val="bottom"/>
          </w:tcPr>
          <w:p>
            <w:pPr>
              <w:spacing w:after="0"/>
              <w:rPr>
                <w:sz w:val="1"/>
                <w:szCs w:val="1"/>
                <w:color w:val="auto"/>
              </w:rPr>
            </w:pPr>
          </w:p>
        </w:tc>
      </w:tr>
      <w:tr>
        <w:trPr>
          <w:trHeight w:val="168"/>
        </w:trPr>
        <w:tc>
          <w:tcPr>
            <w:tcW w:w="2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(39,973,312)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(39,973,312)</w:t>
            </w:r>
          </w:p>
        </w:tc>
        <w:tc>
          <w:tcPr>
            <w:tcW w:w="0" w:type="dxa"/>
            <w:vAlign w:val="bottom"/>
          </w:tcPr>
          <w:p>
            <w:pPr>
              <w:spacing w:after="0"/>
              <w:rPr>
                <w:sz w:val="1"/>
                <w:szCs w:val="1"/>
                <w:color w:val="auto"/>
              </w:rPr>
            </w:pPr>
          </w:p>
        </w:tc>
      </w:tr>
      <w:tr>
        <w:trPr>
          <w:trHeight w:val="39"/>
        </w:trPr>
        <w:tc>
          <w:tcPr>
            <w:tcW w:w="276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Predecessor balance, December 20, 2022</w:t>
            </w: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(522,129)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(101,872,399)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(102,394,528)</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Successor balance, December 21, 2022</w:t>
            </w: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 stock to effect business combination</w:t>
            </w: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100,000,000</w:t>
            </w:r>
          </w:p>
        </w:tc>
        <w:tc>
          <w:tcPr>
            <w:tcW w:w="200" w:type="dxa"/>
            <w:vAlign w:val="bottom"/>
          </w:tcPr>
          <w:p>
            <w:pPr>
              <w:spacing w:after="0"/>
              <w:rPr>
                <w:sz w:val="15"/>
                <w:szCs w:val="15"/>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100,000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29,247,639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29,347,639</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Series A-1 and A-2 preferred stock, net of</w:t>
            </w:r>
          </w:p>
        </w:tc>
        <w:tc>
          <w:tcPr>
            <w:tcW w:w="76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7,780,941</w:t>
            </w: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74,918,553</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4"/>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cost</w:t>
            </w:r>
          </w:p>
        </w:tc>
        <w:tc>
          <w:tcPr>
            <w:tcW w:w="760" w:type="dxa"/>
            <w:vAlign w:val="bottom"/>
            <w:tcBorders>
              <w:bottom w:val="single" w:sz="8" w:color="CCEEFF"/>
            </w:tcBorders>
            <w:vMerge w:val="continue"/>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vMerge w:val="continue"/>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2"/>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gridSpan w:val="2"/>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Accretion of Senior Series A preferred stock</w:t>
            </w: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152,020,633</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(29,247,639)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(122,772,994)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(152,020,633)</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Cumulative translation adjustment</w:t>
            </w: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(571)</w:t>
            </w: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(11,606,400)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(11,606,400)</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Successor balance, December 31, 2022</w:t>
            </w: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7,780,941</w:t>
            </w: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226,939,186</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100,000,000</w:t>
            </w:r>
          </w:p>
        </w:tc>
        <w:tc>
          <w:tcPr>
            <w:tcW w:w="2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100,000</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(134,379,394)</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(134,279,965)</w:t>
            </w:r>
          </w:p>
        </w:tc>
        <w:tc>
          <w:tcPr>
            <w:tcW w:w="0" w:type="dxa"/>
            <w:vAlign w:val="bottom"/>
          </w:tcPr>
          <w:p>
            <w:pPr>
              <w:spacing w:after="0"/>
              <w:rPr>
                <w:sz w:val="1"/>
                <w:szCs w:val="1"/>
                <w:color w:val="auto"/>
              </w:rPr>
            </w:pPr>
          </w:p>
        </w:tc>
      </w:tr>
      <w:tr>
        <w:trPr>
          <w:trHeight w:val="172"/>
        </w:trPr>
        <w:tc>
          <w:tcPr>
            <w:tcW w:w="2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Cumulative translation adjustment</w:t>
            </w:r>
          </w:p>
        </w:tc>
        <w:tc>
          <w:tcPr>
            <w:tcW w:w="7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(1,900,156)</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(1,900,156)</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Accretion of Senior Series A preferred stock</w:t>
            </w: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24,961,242</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(24,961,242)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(24,961,242)</w:t>
            </w: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7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5"/>
                <w:szCs w:val="15"/>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(66,429,193)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(66,429,193)</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Successor balance, December 31, 2023</w:t>
            </w: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7,780,941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251,900,428</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100,000,000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(1,900,727)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(225,769,829)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(227,570,556)</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80"/>
          </w:cols>
          <w:pgMar w:left="380" w:top="1440" w:right="2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AND COMBINED STATEMENTS OF CASH FLOWS</w:t>
      </w:r>
    </w:p>
    <w:p>
      <w:pPr>
        <w:spacing w:after="0" w:line="134" w:lineRule="exact"/>
        <w:rPr>
          <w:sz w:val="20"/>
          <w:szCs w:val="20"/>
          <w:color w:val="auto"/>
        </w:rPr>
      </w:pPr>
    </w:p>
    <w:tbl>
      <w:tblPr>
        <w:tblLayout w:type="fixed"/>
        <w:tblInd w:w="480" w:type="dxa"/>
        <w:tblCellMar>
          <w:top w:w="0" w:type="dxa"/>
          <w:left w:w="0" w:type="dxa"/>
          <w:bottom w:w="0" w:type="dxa"/>
          <w:right w:w="0" w:type="dxa"/>
        </w:tblCellMar>
      </w:tblPr>
      <w:tr>
        <w:trPr>
          <w:trHeight w:val="146"/>
        </w:trPr>
        <w:tc>
          <w:tcPr>
            <w:tcW w:w="3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tcPr>
          <w:p>
            <w:pPr>
              <w:ind w:left="940"/>
              <w:spacing w:after="0"/>
              <w:rPr>
                <w:sz w:val="20"/>
                <w:szCs w:val="20"/>
                <w:color w:val="auto"/>
              </w:rPr>
            </w:pPr>
            <w:r>
              <w:rPr>
                <w:rFonts w:ascii="Times New Roman" w:cs="Times New Roman" w:eastAsia="Times New Roman" w:hAnsi="Times New Roman"/>
                <w:sz w:val="11"/>
                <w:szCs w:val="11"/>
                <w:b w:val="1"/>
                <w:bCs w:val="1"/>
                <w:color w:val="auto"/>
              </w:rPr>
              <w:t>Successor</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tcPr>
          <w:p>
            <w:pPr>
              <w:ind w:left="820"/>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(Combined)</w:t>
            </w:r>
          </w:p>
        </w:tc>
        <w:tc>
          <w:tcPr>
            <w:tcW w:w="0" w:type="dxa"/>
            <w:vAlign w:val="bottom"/>
          </w:tcPr>
          <w:p>
            <w:pPr>
              <w:spacing w:after="0"/>
              <w:rPr>
                <w:sz w:val="1"/>
                <w:szCs w:val="1"/>
                <w:color w:val="auto"/>
              </w:rPr>
            </w:pPr>
          </w:p>
        </w:tc>
      </w:tr>
      <w:tr>
        <w:trPr>
          <w:trHeight w:val="39"/>
        </w:trPr>
        <w:tc>
          <w:tcPr>
            <w:tcW w:w="39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3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4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Period from December</w:t>
            </w:r>
          </w:p>
        </w:tc>
        <w:tc>
          <w:tcPr>
            <w:tcW w:w="100" w:type="dxa"/>
            <w:vAlign w:val="bottom"/>
          </w:tcPr>
          <w:p>
            <w:pPr>
              <w:spacing w:after="0"/>
              <w:rPr>
                <w:sz w:val="13"/>
                <w:szCs w:val="13"/>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Period from January 1,</w:t>
            </w:r>
          </w:p>
        </w:tc>
        <w:tc>
          <w:tcPr>
            <w:tcW w:w="0" w:type="dxa"/>
            <w:vAlign w:val="bottom"/>
          </w:tcPr>
          <w:p>
            <w:pPr>
              <w:spacing w:after="0"/>
              <w:rPr>
                <w:sz w:val="1"/>
                <w:szCs w:val="1"/>
                <w:color w:val="auto"/>
              </w:rPr>
            </w:pPr>
          </w:p>
        </w:tc>
      </w:tr>
      <w:tr>
        <w:trPr>
          <w:trHeight w:val="73"/>
        </w:trPr>
        <w:tc>
          <w:tcPr>
            <w:tcW w:w="3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40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21, 2022 to December 31,</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vMerge w:val="restart"/>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2022 to December 20,</w:t>
            </w:r>
          </w:p>
        </w:tc>
        <w:tc>
          <w:tcPr>
            <w:tcW w:w="0" w:type="dxa"/>
            <w:vAlign w:val="bottom"/>
          </w:tcPr>
          <w:p>
            <w:pPr>
              <w:spacing w:after="0"/>
              <w:rPr>
                <w:sz w:val="1"/>
                <w:szCs w:val="1"/>
                <w:color w:val="auto"/>
              </w:rPr>
            </w:pPr>
          </w:p>
        </w:tc>
      </w:tr>
      <w:tr>
        <w:trPr>
          <w:trHeight w:val="76"/>
        </w:trPr>
        <w:tc>
          <w:tcPr>
            <w:tcW w:w="3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400" w:type="dxa"/>
            <w:vAlign w:val="bottom"/>
            <w:tcBorders>
              <w:right w:val="single" w:sz="8" w:color="auto"/>
            </w:tcBorders>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3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860" w:type="dxa"/>
            <w:vAlign w:val="bottom"/>
            <w:vMerge w:val="restart"/>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vMerge w:val="restart"/>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85"/>
        </w:trPr>
        <w:tc>
          <w:tcPr>
            <w:tcW w:w="3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39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Cash flows from operating activities:</w:t>
            </w:r>
          </w:p>
        </w:tc>
        <w:tc>
          <w:tcPr>
            <w:tcW w:w="1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right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(66,429,193)</w:t>
            </w:r>
          </w:p>
        </w:tc>
        <w:tc>
          <w:tcPr>
            <w:tcW w:w="12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(11,606,400)</w:t>
            </w: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(39,973,312)</w:t>
            </w:r>
          </w:p>
        </w:tc>
        <w:tc>
          <w:tcPr>
            <w:tcW w:w="0" w:type="dxa"/>
            <w:vAlign w:val="bottom"/>
          </w:tcPr>
          <w:p>
            <w:pPr>
              <w:spacing w:after="0"/>
              <w:rPr>
                <w:sz w:val="1"/>
                <w:szCs w:val="1"/>
                <w:color w:val="auto"/>
              </w:rPr>
            </w:pPr>
          </w:p>
        </w:tc>
      </w:tr>
      <w:tr>
        <w:trPr>
          <w:trHeight w:val="39"/>
        </w:trPr>
        <w:tc>
          <w:tcPr>
            <w:tcW w:w="3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3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Adjustments to reconcile net loss to net cash used in operating activities:</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Depreciation</w:t>
            </w:r>
          </w:p>
        </w:tc>
        <w:tc>
          <w:tcPr>
            <w:tcW w:w="120" w:type="dxa"/>
            <w:vAlign w:val="bottom"/>
          </w:tcPr>
          <w:p>
            <w:pPr>
              <w:spacing w:after="0"/>
              <w:rPr>
                <w:sz w:val="16"/>
                <w:szCs w:val="16"/>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76,156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3,318</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196,718</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Amortization of deferred commissions</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388,062</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3,613,652</w:t>
            </w:r>
          </w:p>
        </w:tc>
        <w:tc>
          <w:tcPr>
            <w:tcW w:w="0" w:type="dxa"/>
            <w:vAlign w:val="bottom"/>
          </w:tcPr>
          <w:p>
            <w:pPr>
              <w:spacing w:after="0"/>
              <w:rPr>
                <w:sz w:val="1"/>
                <w:szCs w:val="1"/>
                <w:color w:val="auto"/>
              </w:rPr>
            </w:pPr>
          </w:p>
        </w:tc>
      </w:tr>
      <w:tr>
        <w:trPr>
          <w:trHeight w:val="192"/>
        </w:trPr>
        <w:tc>
          <w:tcPr>
            <w:tcW w:w="39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Amortization of intangible assets</w:t>
            </w:r>
          </w:p>
        </w:tc>
        <w:tc>
          <w:tcPr>
            <w:tcW w:w="120" w:type="dxa"/>
            <w:vAlign w:val="bottom"/>
          </w:tcPr>
          <w:p>
            <w:pPr>
              <w:spacing w:after="0"/>
              <w:rPr>
                <w:sz w:val="16"/>
                <w:szCs w:val="16"/>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12,011,421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321,045</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688,693</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147,759</w:t>
            </w:r>
          </w:p>
        </w:tc>
        <w:tc>
          <w:tcPr>
            <w:tcW w:w="0" w:type="dxa"/>
            <w:vAlign w:val="bottom"/>
          </w:tcPr>
          <w:p>
            <w:pPr>
              <w:spacing w:after="0"/>
              <w:rPr>
                <w:sz w:val="1"/>
                <w:szCs w:val="1"/>
                <w:color w:val="auto"/>
              </w:rPr>
            </w:pPr>
          </w:p>
        </w:tc>
      </w:tr>
      <w:tr>
        <w:trPr>
          <w:trHeight w:val="192"/>
        </w:trPr>
        <w:tc>
          <w:tcPr>
            <w:tcW w:w="39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Accretion of extension fee and convertible debt interest</w:t>
            </w: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6"/>
                <w:szCs w:val="16"/>
                <w:color w:val="auto"/>
              </w:rPr>
            </w:pPr>
          </w:p>
        </w:tc>
        <w:tc>
          <w:tcPr>
            <w:tcW w:w="100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5,419,167</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Amortization of debt issuance costs</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3,379,335</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99,731</w:t>
            </w:r>
          </w:p>
        </w:tc>
        <w:tc>
          <w:tcPr>
            <w:tcW w:w="14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92"/>
        </w:trPr>
        <w:tc>
          <w:tcPr>
            <w:tcW w:w="39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Accrued paid-in-kind interest on debt due at maturity</w:t>
            </w:r>
          </w:p>
        </w:tc>
        <w:tc>
          <w:tcPr>
            <w:tcW w:w="120" w:type="dxa"/>
            <w:vAlign w:val="bottom"/>
          </w:tcPr>
          <w:p>
            <w:pPr>
              <w:spacing w:after="0"/>
              <w:rPr>
                <w:sz w:val="16"/>
                <w:szCs w:val="16"/>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763,472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Change in operating ROU assets</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365,124</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92"/>
        </w:trPr>
        <w:tc>
          <w:tcPr>
            <w:tcW w:w="39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Change in fair value of warrant liability</w:t>
            </w:r>
          </w:p>
        </w:tc>
        <w:tc>
          <w:tcPr>
            <w:tcW w:w="120" w:type="dxa"/>
            <w:vAlign w:val="bottom"/>
          </w:tcPr>
          <w:p>
            <w:pPr>
              <w:spacing w:after="0"/>
              <w:rPr>
                <w:sz w:val="16"/>
                <w:szCs w:val="16"/>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1,533,042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Change in fair value of CVR</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6,097,187</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9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Payments of CVR</w:t>
            </w:r>
          </w:p>
        </w:tc>
        <w:tc>
          <w:tcPr>
            <w:tcW w:w="120" w:type="dxa"/>
            <w:vAlign w:val="bottom"/>
          </w:tcPr>
          <w:p>
            <w:pPr>
              <w:spacing w:after="0"/>
              <w:rPr>
                <w:sz w:val="16"/>
                <w:szCs w:val="16"/>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(6,998,129)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gain/loss on sale of subsidiary</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(1,154,589)</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92"/>
        </w:trPr>
        <w:tc>
          <w:tcPr>
            <w:tcW w:w="39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Other</w:t>
            </w: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6"/>
                <w:szCs w:val="16"/>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57,357</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(222,151)</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9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Accounts receivable, net</w:t>
            </w:r>
          </w:p>
        </w:tc>
        <w:tc>
          <w:tcPr>
            <w:tcW w:w="120" w:type="dxa"/>
            <w:vAlign w:val="bottom"/>
          </w:tcPr>
          <w:p>
            <w:pPr>
              <w:spacing w:after="0"/>
              <w:rPr>
                <w:sz w:val="16"/>
                <w:szCs w:val="16"/>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(5,540,825)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(442,715)</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2,867,694</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Deferred sales commissions</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(4,038,528)</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(4,569,430)</w:t>
            </w:r>
          </w:p>
        </w:tc>
        <w:tc>
          <w:tcPr>
            <w:tcW w:w="0" w:type="dxa"/>
            <w:vAlign w:val="bottom"/>
          </w:tcPr>
          <w:p>
            <w:pPr>
              <w:spacing w:after="0"/>
              <w:rPr>
                <w:sz w:val="1"/>
                <w:szCs w:val="1"/>
                <w:color w:val="auto"/>
              </w:rPr>
            </w:pPr>
          </w:p>
        </w:tc>
      </w:tr>
      <w:tr>
        <w:trPr>
          <w:trHeight w:val="192"/>
        </w:trPr>
        <w:tc>
          <w:tcPr>
            <w:tcW w:w="39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Prepaid and other current assets</w:t>
            </w:r>
          </w:p>
        </w:tc>
        <w:tc>
          <w:tcPr>
            <w:tcW w:w="120" w:type="dxa"/>
            <w:vAlign w:val="bottom"/>
          </w:tcPr>
          <w:p>
            <w:pPr>
              <w:spacing w:after="0"/>
              <w:rPr>
                <w:sz w:val="16"/>
                <w:szCs w:val="16"/>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1,434,496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(70,459)</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(677,257)</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Other non-current assets</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(2,089,968)</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92"/>
        </w:trPr>
        <w:tc>
          <w:tcPr>
            <w:tcW w:w="39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Accounts payable, accrued expenses, and other liabilities</w:t>
            </w:r>
          </w:p>
        </w:tc>
        <w:tc>
          <w:tcPr>
            <w:tcW w:w="120" w:type="dxa"/>
            <w:vAlign w:val="bottom"/>
          </w:tcPr>
          <w:p>
            <w:pPr>
              <w:spacing w:after="0"/>
              <w:rPr>
                <w:sz w:val="16"/>
                <w:szCs w:val="16"/>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(10,501,818)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(6,439,325)</w:t>
            </w: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9,647,349</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Payroll liabilities</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(755,327)</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(5,651,991)</w:t>
            </w:r>
          </w:p>
        </w:tc>
        <w:tc>
          <w:tcPr>
            <w:tcW w:w="14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7,157,375</w:t>
            </w:r>
          </w:p>
        </w:tc>
        <w:tc>
          <w:tcPr>
            <w:tcW w:w="0" w:type="dxa"/>
            <w:vAlign w:val="bottom"/>
          </w:tcPr>
          <w:p>
            <w:pPr>
              <w:spacing w:after="0"/>
              <w:rPr>
                <w:sz w:val="1"/>
                <w:szCs w:val="1"/>
                <w:color w:val="auto"/>
              </w:rPr>
            </w:pPr>
          </w:p>
        </w:tc>
      </w:tr>
      <w:tr>
        <w:trPr>
          <w:trHeight w:val="192"/>
        </w:trPr>
        <w:tc>
          <w:tcPr>
            <w:tcW w:w="39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120" w:type="dxa"/>
            <w:vAlign w:val="bottom"/>
          </w:tcPr>
          <w:p>
            <w:pPr>
              <w:spacing w:after="0"/>
              <w:rPr>
                <w:sz w:val="16"/>
                <w:szCs w:val="16"/>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(371,222)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Due to affiliates</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1,394,565</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(6,339,462)</w:t>
            </w:r>
          </w:p>
        </w:tc>
        <w:tc>
          <w:tcPr>
            <w:tcW w:w="14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2,839,462</w:t>
            </w:r>
          </w:p>
        </w:tc>
        <w:tc>
          <w:tcPr>
            <w:tcW w:w="0" w:type="dxa"/>
            <w:vAlign w:val="bottom"/>
          </w:tcPr>
          <w:p>
            <w:pPr>
              <w:spacing w:after="0"/>
              <w:rPr>
                <w:sz w:val="1"/>
                <w:szCs w:val="1"/>
                <w:color w:val="auto"/>
              </w:rPr>
            </w:pPr>
          </w:p>
        </w:tc>
      </w:tr>
      <w:tr>
        <w:trPr>
          <w:trHeight w:val="180"/>
        </w:trPr>
        <w:tc>
          <w:tcPr>
            <w:tcW w:w="394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Deferred revenues</w:t>
            </w:r>
          </w:p>
        </w:tc>
        <w:tc>
          <w:tcPr>
            <w:tcW w:w="120" w:type="dxa"/>
            <w:vAlign w:val="bottom"/>
          </w:tcPr>
          <w:p>
            <w:pPr>
              <w:spacing w:after="0"/>
              <w:rPr>
                <w:sz w:val="15"/>
                <w:szCs w:val="15"/>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(2,073,426)</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897,459</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7,901,477</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Net cash used in operating activities</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(71,821,472)</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(29,171,442)</w:t>
            </w:r>
          </w:p>
        </w:tc>
        <w:tc>
          <w:tcPr>
            <w:tcW w:w="14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(5,651,497)</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Cash flows provided by (used in) investing activities:</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Acquisition of business, net of cash acquired</w:t>
            </w: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4"/>
                <w:szCs w:val="14"/>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(14,772,905)</w:t>
            </w: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9"/>
        </w:trPr>
        <w:tc>
          <w:tcPr>
            <w:tcW w:w="3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3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Cash received from sale of subsidiary, net</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508,920</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9"/>
        </w:trPr>
        <w:tc>
          <w:tcPr>
            <w:tcW w:w="39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Purchase of property and equipment</w:t>
            </w:r>
          </w:p>
        </w:tc>
        <w:tc>
          <w:tcPr>
            <w:tcW w:w="12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(353,595)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(91,629)</w:t>
            </w:r>
          </w:p>
        </w:tc>
        <w:tc>
          <w:tcPr>
            <w:tcW w:w="0" w:type="dxa"/>
            <w:vAlign w:val="bottom"/>
          </w:tcPr>
          <w:p>
            <w:pPr>
              <w:spacing w:after="0"/>
              <w:rPr>
                <w:sz w:val="1"/>
                <w:szCs w:val="1"/>
                <w:color w:val="auto"/>
              </w:rPr>
            </w:pPr>
          </w:p>
        </w:tc>
      </w:tr>
      <w:tr>
        <w:trPr>
          <w:trHeight w:val="39"/>
        </w:trPr>
        <w:tc>
          <w:tcPr>
            <w:tcW w:w="39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3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Net cash provided by (used in) investing activities</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155,325</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(14,772,905)</w:t>
            </w:r>
          </w:p>
        </w:tc>
        <w:tc>
          <w:tcPr>
            <w:tcW w:w="14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(91,629)</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Cash flows provided by (used in) financing activities:</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Payments on capital lease obligations</w:t>
            </w: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4"/>
                <w:szCs w:val="14"/>
                <w:color w:val="auto"/>
              </w:rPr>
            </w:pPr>
          </w:p>
        </w:tc>
        <w:tc>
          <w:tcPr>
            <w:tcW w:w="100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(81,928)</w:t>
            </w:r>
          </w:p>
        </w:tc>
        <w:tc>
          <w:tcPr>
            <w:tcW w:w="0" w:type="dxa"/>
            <w:vAlign w:val="bottom"/>
          </w:tcPr>
          <w:p>
            <w:pPr>
              <w:spacing w:after="0"/>
              <w:rPr>
                <w:sz w:val="1"/>
                <w:szCs w:val="1"/>
                <w:color w:val="auto"/>
              </w:rPr>
            </w:pPr>
          </w:p>
        </w:tc>
      </w:tr>
      <w:tr>
        <w:trPr>
          <w:trHeight w:val="39"/>
        </w:trPr>
        <w:tc>
          <w:tcPr>
            <w:tcW w:w="3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3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Proceeds from debt</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20,000,000</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67,954,111</w:t>
            </w:r>
          </w:p>
        </w:tc>
        <w:tc>
          <w:tcPr>
            <w:tcW w:w="14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Payments of debt</w:t>
            </w: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4"/>
                <w:szCs w:val="14"/>
                <w:color w:val="auto"/>
              </w:rPr>
            </w:pPr>
          </w:p>
        </w:tc>
        <w:tc>
          <w:tcPr>
            <w:tcW w:w="100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(2,358,201)</w:t>
            </w:r>
          </w:p>
        </w:tc>
        <w:tc>
          <w:tcPr>
            <w:tcW w:w="0" w:type="dxa"/>
            <w:vAlign w:val="bottom"/>
          </w:tcPr>
          <w:p>
            <w:pPr>
              <w:spacing w:after="0"/>
              <w:rPr>
                <w:sz w:val="1"/>
                <w:szCs w:val="1"/>
                <w:color w:val="auto"/>
              </w:rPr>
            </w:pPr>
          </w:p>
        </w:tc>
      </w:tr>
      <w:tr>
        <w:trPr>
          <w:trHeight w:val="39"/>
        </w:trPr>
        <w:tc>
          <w:tcPr>
            <w:tcW w:w="3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Proceeds from the issuance of preferred stock, net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39,631,490</w:t>
            </w:r>
          </w:p>
        </w:tc>
        <w:tc>
          <w:tcPr>
            <w:tcW w:w="14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1"/>
        </w:trPr>
        <w:tc>
          <w:tcPr>
            <w:tcW w:w="39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gridSpan w:val="2"/>
            <w:vMerge w:val="continue"/>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right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9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Transfer to parent</w:t>
            </w:r>
          </w:p>
        </w:tc>
        <w:tc>
          <w:tcPr>
            <w:tcW w:w="12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4"/>
                <w:szCs w:val="14"/>
                <w:color w:val="auto"/>
              </w:rPr>
            </w:pPr>
          </w:p>
        </w:tc>
        <w:tc>
          <w:tcPr>
            <w:tcW w:w="100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(10,370,391)</w:t>
            </w:r>
          </w:p>
        </w:tc>
        <w:tc>
          <w:tcPr>
            <w:tcW w:w="0" w:type="dxa"/>
            <w:vAlign w:val="bottom"/>
          </w:tcPr>
          <w:p>
            <w:pPr>
              <w:spacing w:after="0"/>
              <w:rPr>
                <w:sz w:val="1"/>
                <w:szCs w:val="1"/>
                <w:color w:val="auto"/>
              </w:rPr>
            </w:pPr>
          </w:p>
        </w:tc>
      </w:tr>
      <w:tr>
        <w:trPr>
          <w:trHeight w:val="39"/>
        </w:trPr>
        <w:tc>
          <w:tcPr>
            <w:tcW w:w="39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3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Net cash provided by (used in) financing activities</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20,000,000</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107,585,601</w:t>
            </w:r>
          </w:p>
        </w:tc>
        <w:tc>
          <w:tcPr>
            <w:tcW w:w="14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(12,810,520)</w:t>
            </w:r>
          </w:p>
        </w:tc>
        <w:tc>
          <w:tcPr>
            <w:tcW w:w="0" w:type="dxa"/>
            <w:vAlign w:val="bottom"/>
          </w:tcPr>
          <w:p>
            <w:pPr>
              <w:spacing w:after="0"/>
              <w:rPr>
                <w:sz w:val="1"/>
                <w:szCs w:val="1"/>
                <w:color w:val="auto"/>
              </w:rPr>
            </w:pPr>
          </w:p>
        </w:tc>
      </w:tr>
      <w:tr>
        <w:trPr>
          <w:trHeight w:val="160"/>
        </w:trPr>
        <w:tc>
          <w:tcPr>
            <w:tcW w:w="394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Effect of exchange rate on cash</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(616,314)</w:t>
            </w:r>
          </w:p>
        </w:tc>
        <w:tc>
          <w:tcPr>
            <w:tcW w:w="1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(85,408)</w:t>
            </w:r>
          </w:p>
        </w:tc>
        <w:tc>
          <w:tcPr>
            <w:tcW w:w="0" w:type="dxa"/>
            <w:vAlign w:val="bottom"/>
          </w:tcPr>
          <w:p>
            <w:pPr>
              <w:spacing w:after="0"/>
              <w:rPr>
                <w:sz w:val="1"/>
                <w:szCs w:val="1"/>
                <w:color w:val="auto"/>
              </w:rPr>
            </w:pPr>
          </w:p>
        </w:tc>
      </w:tr>
      <w:tr>
        <w:trPr>
          <w:trHeight w:val="39"/>
        </w:trPr>
        <w:tc>
          <w:tcPr>
            <w:tcW w:w="39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3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Net increase (decrease) in cash and cash equivalents</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(52,282,461)</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63,641,254</w:t>
            </w:r>
          </w:p>
        </w:tc>
        <w:tc>
          <w:tcPr>
            <w:tcW w:w="14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(18,639,054)</w:t>
            </w:r>
          </w:p>
        </w:tc>
        <w:tc>
          <w:tcPr>
            <w:tcW w:w="0" w:type="dxa"/>
            <w:vAlign w:val="bottom"/>
          </w:tcPr>
          <w:p>
            <w:pPr>
              <w:spacing w:after="0"/>
              <w:rPr>
                <w:sz w:val="1"/>
                <w:szCs w:val="1"/>
                <w:color w:val="auto"/>
              </w:rPr>
            </w:pPr>
          </w:p>
        </w:tc>
      </w:tr>
      <w:tr>
        <w:trPr>
          <w:trHeight w:val="160"/>
        </w:trPr>
        <w:tc>
          <w:tcPr>
            <w:tcW w:w="39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Cash and cash equivalents at beginning of period</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63,641,254</w:t>
            </w:r>
          </w:p>
        </w:tc>
        <w:tc>
          <w:tcPr>
            <w:tcW w:w="1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19,550,312</w:t>
            </w:r>
          </w:p>
        </w:tc>
        <w:tc>
          <w:tcPr>
            <w:tcW w:w="0" w:type="dxa"/>
            <w:vAlign w:val="bottom"/>
          </w:tcPr>
          <w:p>
            <w:pPr>
              <w:spacing w:after="0"/>
              <w:rPr>
                <w:sz w:val="1"/>
                <w:szCs w:val="1"/>
                <w:color w:val="auto"/>
              </w:rPr>
            </w:pPr>
          </w:p>
        </w:tc>
      </w:tr>
      <w:tr>
        <w:trPr>
          <w:trHeight w:val="39"/>
        </w:trPr>
        <w:tc>
          <w:tcPr>
            <w:tcW w:w="39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right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39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Cash and cash equivalents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11,358,793</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63,641,254</w:t>
            </w:r>
          </w:p>
        </w:tc>
        <w:tc>
          <w:tcPr>
            <w:tcW w:w="14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911,258</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3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9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Supplemental disclosure of cash flow information</w:t>
            </w: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9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Common and preferred warrants issued</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rPr>
              <w:t>3,106,482</w:t>
            </w: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0"/>
        </w:trPr>
        <w:tc>
          <w:tcPr>
            <w:tcW w:w="394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39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40" w:type="dxa"/>
            <w:vAlign w:val="bottom"/>
            <w:tcBorders>
              <w:bottom w:val="single" w:sz="8" w:color="CCEEFF"/>
              <w:right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3940" w:type="dxa"/>
            <w:vAlign w:val="bottom"/>
            <w:shd w:val="clear" w:color="auto" w:fill="CCEEFF"/>
          </w:tcPr>
          <w:p>
            <w:pPr>
              <w:ind w:left="60"/>
              <w:spacing w:after="0" w:line="121" w:lineRule="exact"/>
              <w:rPr>
                <w:sz w:val="20"/>
                <w:szCs w:val="20"/>
                <w:color w:val="auto"/>
              </w:rPr>
            </w:pPr>
            <w:r>
              <w:rPr>
                <w:rFonts w:ascii="Times New Roman" w:cs="Times New Roman" w:eastAsia="Times New Roman" w:hAnsi="Times New Roman"/>
                <w:sz w:val="11"/>
                <w:szCs w:val="11"/>
                <w:color w:val="auto"/>
              </w:rPr>
              <w:t>Cash paid for interest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11,839,139</w:t>
            </w:r>
          </w:p>
        </w:tc>
        <w:tc>
          <w:tcPr>
            <w:tcW w:w="12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303,119</w:t>
            </w:r>
          </w:p>
        </w:tc>
        <w:tc>
          <w:tcPr>
            <w:tcW w:w="0" w:type="dxa"/>
            <w:vAlign w:val="bottom"/>
          </w:tcPr>
          <w:p>
            <w:pPr>
              <w:spacing w:after="0"/>
              <w:rPr>
                <w:sz w:val="1"/>
                <w:szCs w:val="1"/>
                <w:color w:val="auto"/>
              </w:rPr>
            </w:pPr>
          </w:p>
        </w:tc>
      </w:tr>
      <w:tr>
        <w:trPr>
          <w:trHeight w:val="149"/>
        </w:trPr>
        <w:tc>
          <w:tcPr>
            <w:tcW w:w="39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vMerge w:val="continue"/>
            <w:shd w:val="clear" w:color="auto" w:fill="CCEEFF"/>
          </w:tcPr>
          <w:p>
            <w:pPr>
              <w:spacing w:after="0"/>
              <w:rPr>
                <w:sz w:val="12"/>
                <w:szCs w:val="12"/>
                <w:color w:val="auto"/>
              </w:rPr>
            </w:pPr>
          </w:p>
        </w:tc>
        <w:tc>
          <w:tcPr>
            <w:tcW w:w="11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vMerge w:val="continue"/>
            <w:shd w:val="clear" w:color="auto" w:fill="CCEEFF"/>
          </w:tcPr>
          <w:p>
            <w:pPr>
              <w:spacing w:after="0"/>
              <w:rPr>
                <w:sz w:val="12"/>
                <w:szCs w:val="12"/>
                <w:color w:val="auto"/>
              </w:rPr>
            </w:pPr>
          </w:p>
        </w:tc>
        <w:tc>
          <w:tcPr>
            <w:tcW w:w="1000" w:type="dxa"/>
            <w:vAlign w:val="bottom"/>
            <w:tcBorders>
              <w:bottom w:val="single" w:sz="8" w:color="CCEEFF"/>
              <w:right w:val="single" w:sz="8" w:color="auto"/>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11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1"/>
                <w:szCs w:val="11"/>
                <w:color w:val="auto"/>
              </w:rPr>
              <w:t>Cash paid for income taxes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940" w:type="dxa"/>
            <w:vAlign w:val="bottom"/>
            <w:vMerge w:val="continue"/>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143,464</w:t>
            </w:r>
          </w:p>
        </w:tc>
        <w:tc>
          <w:tcPr>
            <w:tcW w:w="120" w:type="dxa"/>
            <w:vAlign w:val="bottom"/>
          </w:tcPr>
          <w:p>
            <w:pPr>
              <w:spacing w:after="0"/>
              <w:rPr>
                <w:sz w:val="10"/>
                <w:szCs w:val="10"/>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right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rPr>
              <w:t>1,165,818</w:t>
            </w:r>
          </w:p>
        </w:tc>
        <w:tc>
          <w:tcPr>
            <w:tcW w:w="0" w:type="dxa"/>
            <w:vAlign w:val="bottom"/>
          </w:tcPr>
          <w:p>
            <w:pPr>
              <w:spacing w:after="0"/>
              <w:rPr>
                <w:sz w:val="1"/>
                <w:szCs w:val="1"/>
                <w:color w:val="auto"/>
              </w:rPr>
            </w:pPr>
          </w:p>
        </w:tc>
      </w:tr>
      <w:tr>
        <w:trPr>
          <w:trHeight w:val="110"/>
        </w:trPr>
        <w:tc>
          <w:tcPr>
            <w:tcW w:w="394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000" w:type="dxa"/>
            <w:vAlign w:val="bottom"/>
            <w:tcBorders>
              <w:right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39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40" w:type="dxa"/>
            <w:vAlign w:val="bottom"/>
            <w:tcBorders>
              <w:bottom w:val="single" w:sz="8" w:color="CCEEFF"/>
              <w:right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9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Accretion of Senior Series A Preferred Stock</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24,961,243</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152,020,633</w:t>
            </w:r>
          </w:p>
        </w:tc>
        <w:tc>
          <w:tcPr>
            <w:tcW w:w="140" w:type="dxa"/>
            <w:vAlign w:val="bottom"/>
            <w:tcBorders>
              <w:bottom w:val="single" w:sz="8" w:color="CCEEFF"/>
              <w:right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019"/>
          </w:cols>
          <w:pgMar w:left="1440" w:top="1145" w:right="1440" w:bottom="52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NATURE OF BUSINESS AND ORGANIZATION</w:t>
      </w:r>
    </w:p>
    <w:p>
      <w:pPr>
        <w:spacing w:after="0" w:line="220" w:lineRule="exact"/>
        <w:rPr>
          <w:sz w:val="20"/>
          <w:szCs w:val="20"/>
          <w:color w:val="auto"/>
        </w:rPr>
      </w:pPr>
    </w:p>
    <w:p>
      <w:pPr>
        <w:jc w:val="both"/>
        <w:ind w:left="20" w:hanging="7"/>
        <w:spacing w:after="0" w:line="263" w:lineRule="auto"/>
        <w:rPr>
          <w:sz w:val="20"/>
          <w:szCs w:val="20"/>
          <w:color w:val="auto"/>
        </w:rPr>
      </w:pPr>
      <w:r>
        <w:rPr>
          <w:rFonts w:ascii="Times New Roman" w:cs="Times New Roman" w:eastAsia="Times New Roman" w:hAnsi="Times New Roman"/>
          <w:sz w:val="16"/>
          <w:szCs w:val="16"/>
          <w:color w:val="auto"/>
        </w:rPr>
        <w:t>Amelia Holdings, Inc. and subsidiaries, (“Amelia Holdings”, “we” or the “Company”), are involved in the development and delivery of artificial intelligence (AI) and automation solutions and related services, with a purpose to eliminate routine work and free human talent to focus on creating value through innovation. The Company’s headquarters are in New York, New York, and the Company currently has operations in North America, Europe, and the Asia-Pacific region. The Company offers software products and related services, serving a variety of industries including Financial Services, Insurance and Health Care. The Company’s focus is on software-based artificial intelligence product offerings and related services.</w:t>
      </w:r>
    </w:p>
    <w:p>
      <w:pPr>
        <w:spacing w:after="0" w:line="187" w:lineRule="exact"/>
        <w:rPr>
          <w:sz w:val="20"/>
          <w:szCs w:val="20"/>
          <w:color w:val="auto"/>
        </w:rPr>
      </w:pPr>
    </w:p>
    <w:p>
      <w:pPr>
        <w:jc w:val="both"/>
        <w:ind w:left="20" w:hanging="7"/>
        <w:spacing w:after="0" w:line="266" w:lineRule="auto"/>
        <w:rPr>
          <w:sz w:val="20"/>
          <w:szCs w:val="20"/>
          <w:color w:val="auto"/>
        </w:rPr>
      </w:pPr>
      <w:r>
        <w:rPr>
          <w:rFonts w:ascii="Times New Roman" w:cs="Times New Roman" w:eastAsia="Times New Roman" w:hAnsi="Times New Roman"/>
          <w:sz w:val="16"/>
          <w:szCs w:val="16"/>
          <w:color w:val="auto"/>
        </w:rPr>
        <w:t>Amelia, our AI-based digital resource solution, has been built around a set of business domains ranging from technology services to business workflow segments (Business Process as a Service). Our AI capabilities are embedded into the Amelia operating designs for supervised and unsupervised machine learning, reasoning (next-best-actions), and automated activities. By performing tasks previously performed by humans, Amelia serves as the blueprint for the “digital employee,” across physical and cloud-based technology infrastructure, applications, and workflows. Amelia products and solutions are sold directly, as well as through channel partners.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provides its offerings as either a Software-as-a-Service (“SaaS”) offering, or as a perpetual or term license if the customer requires an on-premise solution.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Maintenance and professional services are also offered with respect to the Company’s Amelia software product. The product portfolio consists of the following:</w:t>
      </w:r>
    </w:p>
    <w:p>
      <w:pPr>
        <w:spacing w:after="0" w:line="239" w:lineRule="exact"/>
        <w:rPr>
          <w:sz w:val="20"/>
          <w:szCs w:val="20"/>
          <w:color w:val="auto"/>
        </w:rPr>
      </w:pPr>
    </w:p>
    <w:p>
      <w:pPr>
        <w:jc w:val="both"/>
        <w:ind w:left="600" w:hanging="290"/>
        <w:spacing w:after="0" w:line="248" w:lineRule="auto"/>
        <w:tabs>
          <w:tab w:leader="none" w:pos="59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Amelia Conversational AI – software-based labor units charged per session or per user basis that encompass tasks, activities, and operational routines. This is the next evolution of the chatbot, virtual assistant and robotic process automation models. Amelia Conversational AI are software run-time tasks that span application and workflow function points.</w:t>
      </w:r>
    </w:p>
    <w:p>
      <w:pPr>
        <w:spacing w:after="0" w:line="223" w:lineRule="exact"/>
        <w:rPr>
          <w:rFonts w:ascii="Times New Roman" w:cs="Times New Roman" w:eastAsia="Times New Roman" w:hAnsi="Times New Roman"/>
          <w:sz w:val="20"/>
          <w:szCs w:val="20"/>
          <w:color w:val="auto"/>
        </w:rPr>
      </w:pPr>
    </w:p>
    <w:p>
      <w:pPr>
        <w:jc w:val="both"/>
        <w:ind w:left="600" w:hanging="290"/>
        <w:spacing w:after="0" w:line="248" w:lineRule="auto"/>
        <w:tabs>
          <w:tab w:leader="none" w:pos="59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AIOps – Information Technology (“IT”) focused framework and AI-platform. AIOps is a machine learning, data capture, digital operating environment focused on analysis of IT systems and orchestration of multiple operations automations. These solutions are constructed with reference designs of IT service management platforms, IT workflow orchestration, AI, technology/infrastructure data and cloud operating systems.</w:t>
      </w:r>
    </w:p>
    <w:p>
      <w:pPr>
        <w:spacing w:after="0" w:line="223" w:lineRule="exact"/>
        <w:rPr>
          <w:rFonts w:ascii="Times New Roman" w:cs="Times New Roman" w:eastAsia="Times New Roman" w:hAnsi="Times New Roman"/>
          <w:sz w:val="20"/>
          <w:szCs w:val="20"/>
          <w:color w:val="auto"/>
        </w:rPr>
      </w:pPr>
    </w:p>
    <w:p>
      <w:pPr>
        <w:jc w:val="both"/>
        <w:ind w:left="600" w:hanging="290"/>
        <w:spacing w:after="0" w:line="241" w:lineRule="auto"/>
        <w:tabs>
          <w:tab w:leader="none" w:pos="59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DigitalFirst – offering of human equivalent service for autonomous business workflows and content/data intelligence, executed by digital agents first backed by human capital solutions, from which the digital employees learn continually. The solution is structured by digital agents built for various verticals, and re-balances human and machine interfaces through the life of the product utilization.</w:t>
      </w:r>
    </w:p>
    <w:p>
      <w:pPr>
        <w:spacing w:after="0" w:line="204" w:lineRule="exact"/>
        <w:rPr>
          <w:sz w:val="20"/>
          <w:szCs w:val="20"/>
          <w:color w:val="auto"/>
        </w:rPr>
      </w:pPr>
    </w:p>
    <w:p>
      <w:pPr>
        <w:jc w:val="both"/>
        <w:ind w:left="20" w:hanging="7"/>
        <w:spacing w:after="0" w:line="289" w:lineRule="auto"/>
        <w:rPr>
          <w:sz w:val="20"/>
          <w:szCs w:val="20"/>
          <w:color w:val="auto"/>
        </w:rPr>
      </w:pPr>
      <w:r>
        <w:rPr>
          <w:rFonts w:ascii="Times New Roman" w:cs="Times New Roman" w:eastAsia="Times New Roman" w:hAnsi="Times New Roman"/>
          <w:sz w:val="16"/>
          <w:szCs w:val="16"/>
          <w:color w:val="auto"/>
        </w:rPr>
        <w:t>The focus of our Amelia software, whether it be embedded within a customer offering, or delivered through our product offerings, is to serve what we believe is a future in which a considerable number of existing tasks are to be performed by intelligent machines and systems.</w:t>
      </w:r>
    </w:p>
    <w:p>
      <w:pPr>
        <w:spacing w:after="0" w:line="166" w:lineRule="exact"/>
        <w:rPr>
          <w:sz w:val="20"/>
          <w:szCs w:val="20"/>
          <w:color w:val="auto"/>
        </w:rPr>
      </w:pPr>
    </w:p>
    <w:p>
      <w:pPr>
        <w:jc w:val="both"/>
        <w:ind w:left="20" w:hanging="7"/>
        <w:spacing w:after="0" w:line="289" w:lineRule="auto"/>
        <w:rPr>
          <w:sz w:val="20"/>
          <w:szCs w:val="20"/>
          <w:color w:val="auto"/>
        </w:rPr>
      </w:pPr>
      <w:r>
        <w:rPr>
          <w:rFonts w:ascii="Times New Roman" w:cs="Times New Roman" w:eastAsia="Times New Roman" w:hAnsi="Times New Roman"/>
          <w:sz w:val="16"/>
          <w:szCs w:val="16"/>
          <w:color w:val="auto"/>
        </w:rPr>
        <w:t>The Company was incorporated in Delaware on August 19, 2022, as a wholly owned subsidiary of IPsoft Inc. (“Predecessor Parent”) for purposes of effecting a merger, capital stock exchange, reorganization or similar business combination.</w:t>
      </w:r>
    </w:p>
    <w:p>
      <w:pPr>
        <w:spacing w:after="0" w:line="166" w:lineRule="exact"/>
        <w:rPr>
          <w:sz w:val="20"/>
          <w:szCs w:val="20"/>
          <w:color w:val="auto"/>
        </w:rPr>
      </w:pPr>
    </w:p>
    <w:p>
      <w:pPr>
        <w:jc w:val="both"/>
        <w:ind w:left="20" w:hanging="7"/>
        <w:spacing w:after="0" w:line="263" w:lineRule="auto"/>
        <w:rPr>
          <w:sz w:val="20"/>
          <w:szCs w:val="20"/>
          <w:color w:val="auto"/>
        </w:rPr>
      </w:pPr>
      <w:r>
        <w:rPr>
          <w:rFonts w:ascii="Times New Roman" w:cs="Times New Roman" w:eastAsia="Times New Roman" w:hAnsi="Times New Roman"/>
          <w:sz w:val="16"/>
          <w:szCs w:val="16"/>
          <w:color w:val="auto"/>
        </w:rPr>
        <w:t>On December 21, 2022, the Predecessor Parent, the sole owner of IPsoft, LLC (formerly IPsoft Incorporated), together with Build Group LLC (Build Group), completed a series of transactions which resulted in the Company becoming the sole owner of all issued and outstanding capital stock of Amelia Holdings II LLC (“AHII”) (the “Reorganization”). Prior to the Reorganization, the Predecessor Parent underwent a series of restructuring activities to fully separate the Predecessor Parent into two different lines of business: 1) Amelia Component (“Amelia”) and 2) IP Center Service Component (“IP Center”). The legal entities and other contractual relationships held by the Predecessor Parent that comprised the operations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60"/>
          </w:cols>
          <w:pgMar w:left="300" w:top="536"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of Amelia were then transferred into AHII and the Reorganization closed on December 21, 2022, and included the following transactions:</w:t>
      </w:r>
    </w:p>
    <w:p>
      <w:pPr>
        <w:spacing w:after="0" w:line="267" w:lineRule="exact"/>
        <w:rPr>
          <w:sz w:val="20"/>
          <w:szCs w:val="20"/>
          <w:color w:val="auto"/>
        </w:rPr>
      </w:pPr>
    </w:p>
    <w:p>
      <w:pPr>
        <w:jc w:val="both"/>
        <w:ind w:left="600" w:hanging="290"/>
        <w:spacing w:after="0" w:line="245" w:lineRule="auto"/>
        <w:tabs>
          <w:tab w:leader="none" w:pos="595"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 xml:space="preserve">The Predecessor Parent contributed its interest in AHII to Amelia Holdings and exchanged its common stock interest in Amelia Holdings (its original nominal interest received from Amelia Holdings’ initial incorporation on August 19, 2022) into 100,000,000 Class B common stock shares of Amelia Holdings. The Predecessor Parent also received a contingent value right (See </w:t>
      </w:r>
      <w:r>
        <w:rPr>
          <w:rFonts w:ascii="Times New Roman" w:cs="Times New Roman" w:eastAsia="Times New Roman" w:hAnsi="Times New Roman"/>
          <w:sz w:val="16"/>
          <w:szCs w:val="16"/>
          <w:i w:val="1"/>
          <w:iCs w:val="1"/>
          <w:color w:val="auto"/>
        </w:rPr>
        <w:t>Note 3, Acquisition of Amelia</w:t>
      </w:r>
      <w:r>
        <w:rPr>
          <w:rFonts w:ascii="Times New Roman" w:cs="Times New Roman" w:eastAsia="Times New Roman" w:hAnsi="Times New Roman"/>
          <w:sz w:val="16"/>
          <w:szCs w:val="16"/>
          <w:color w:val="auto"/>
        </w:rPr>
        <w:t>) with a fair value of approximately $10.6 million and a cash distribution of $10.0 million from Amelia Holdings.</w:t>
      </w:r>
    </w:p>
    <w:p>
      <w:pPr>
        <w:spacing w:after="0" w:line="238" w:lineRule="exact"/>
        <w:rPr>
          <w:rFonts w:ascii="Times New Roman" w:cs="Times New Roman" w:eastAsia="Times New Roman" w:hAnsi="Times New Roman"/>
          <w:sz w:val="20"/>
          <w:szCs w:val="20"/>
          <w:color w:val="auto"/>
        </w:rPr>
      </w:pPr>
    </w:p>
    <w:p>
      <w:pPr>
        <w:jc w:val="both"/>
        <w:ind w:left="600" w:hanging="290"/>
        <w:spacing w:after="0" w:line="247" w:lineRule="auto"/>
        <w:tabs>
          <w:tab w:leader="none" w:pos="595"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 xml:space="preserve">Build Group LLC was issued 3,654,170 shares of Series A-1 Preferred Stock of Amelia Holdings in exchange for converting its note receivable held related to a convertible promissory note of $35.4 million with accrued interest (originally issued to Build Group on December 13, 2021, by Amelia Holdings I, LLC, a subsidiary transferred into AHII as part of the legal steps to restructure the business). The note receivable received from Build Group effectively settled the convertible promissory note as part of the purchase consideration transferred in conjunction with Amelia Holding’s acquisition of Amelia as further described below and in </w:t>
      </w:r>
      <w:r>
        <w:rPr>
          <w:rFonts w:ascii="Times New Roman" w:cs="Times New Roman" w:eastAsia="Times New Roman" w:hAnsi="Times New Roman"/>
          <w:sz w:val="16"/>
          <w:szCs w:val="16"/>
          <w:i w:val="1"/>
          <w:iCs w:val="1"/>
          <w:color w:val="auto"/>
        </w:rPr>
        <w:t>Note 3</w:t>
      </w:r>
      <w:r>
        <w:rPr>
          <w:rFonts w:ascii="Times New Roman" w:cs="Times New Roman" w:eastAsia="Times New Roman" w:hAnsi="Times New Roman"/>
          <w:sz w:val="16"/>
          <w:szCs w:val="16"/>
          <w:color w:val="auto"/>
        </w:rPr>
        <w:t>.</w:t>
      </w:r>
    </w:p>
    <w:p>
      <w:pPr>
        <w:spacing w:after="0" w:line="205" w:lineRule="exact"/>
        <w:rPr>
          <w:rFonts w:ascii="Times New Roman" w:cs="Times New Roman" w:eastAsia="Times New Roman" w:hAnsi="Times New Roman"/>
          <w:sz w:val="20"/>
          <w:szCs w:val="20"/>
          <w:color w:val="auto"/>
        </w:rPr>
      </w:pPr>
    </w:p>
    <w:p>
      <w:pPr>
        <w:ind w:left="600" w:hanging="290"/>
        <w:spacing w:after="0"/>
        <w:tabs>
          <w:tab w:leader="none" w:pos="6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Build Group LLC was issued 4,126,771 shares of Series A-2 Preferred Stock of Amelia Holdings in exchange for a $40.0 million cash contribution.</w:t>
      </w:r>
    </w:p>
    <w:p>
      <w:pPr>
        <w:spacing w:after="0" w:line="221" w:lineRule="exact"/>
        <w:rPr>
          <w:rFonts w:ascii="Times New Roman" w:cs="Times New Roman" w:eastAsia="Times New Roman" w:hAnsi="Times New Roman"/>
          <w:sz w:val="20"/>
          <w:szCs w:val="20"/>
          <w:color w:val="auto"/>
        </w:rPr>
      </w:pPr>
    </w:p>
    <w:p>
      <w:pPr>
        <w:ind w:left="600" w:hanging="290"/>
        <w:spacing w:after="0"/>
        <w:tabs>
          <w:tab w:leader="none" w:pos="6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Build Group LLC was issued 8,804,870 warrants to purchase Class A Common Stock of Amelia Holdings.</w:t>
      </w:r>
    </w:p>
    <w:p>
      <w:pPr>
        <w:spacing w:after="0" w:line="240" w:lineRule="exact"/>
        <w:rPr>
          <w:rFonts w:ascii="Times New Roman" w:cs="Times New Roman" w:eastAsia="Times New Roman" w:hAnsi="Times New Roman"/>
          <w:sz w:val="20"/>
          <w:szCs w:val="20"/>
          <w:color w:val="auto"/>
        </w:rPr>
      </w:pPr>
    </w:p>
    <w:p>
      <w:pPr>
        <w:ind w:left="600" w:right="20" w:hanging="290"/>
        <w:spacing w:after="0" w:line="235" w:lineRule="auto"/>
        <w:tabs>
          <w:tab w:leader="none" w:pos="595"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 xml:space="preserve">The proceeds of the Series A-2 contribution were used to extinguish an outstanding loan balance with Hewlett-Packard and related value-added-tax obligations of approximately $5.6 million that was owed by an Amelia legal entity (See </w:t>
      </w:r>
      <w:r>
        <w:rPr>
          <w:rFonts w:ascii="Times New Roman" w:cs="Times New Roman" w:eastAsia="Times New Roman" w:hAnsi="Times New Roman"/>
          <w:sz w:val="16"/>
          <w:szCs w:val="16"/>
          <w:i w:val="1"/>
          <w:iCs w:val="1"/>
          <w:color w:val="auto"/>
        </w:rPr>
        <w:t>Note 6, Debt and capital lease obligations</w:t>
      </w:r>
      <w:r>
        <w:rPr>
          <w:rFonts w:ascii="Times New Roman" w:cs="Times New Roman" w:eastAsia="Times New Roman" w:hAnsi="Times New Roman"/>
          <w:sz w:val="16"/>
          <w:szCs w:val="16"/>
          <w:color w:val="auto"/>
        </w:rPr>
        <w:t>).</w:t>
      </w:r>
    </w:p>
    <w:p>
      <w:pPr>
        <w:spacing w:after="0" w:line="240" w:lineRule="exact"/>
        <w:rPr>
          <w:rFonts w:ascii="Times New Roman" w:cs="Times New Roman" w:eastAsia="Times New Roman" w:hAnsi="Times New Roman"/>
          <w:sz w:val="20"/>
          <w:szCs w:val="20"/>
          <w:color w:val="auto"/>
        </w:rPr>
      </w:pPr>
    </w:p>
    <w:p>
      <w:pPr>
        <w:jc w:val="both"/>
        <w:ind w:left="600" w:right="20" w:hanging="290"/>
        <w:spacing w:after="0" w:line="241" w:lineRule="auto"/>
        <w:tabs>
          <w:tab w:leader="none" w:pos="595"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As part of these transactions Amelia Holdings was permitted to sell an additional $40 million of Series A-3 Preferred Stock with features substantially the same as Series A-1 and A-2. Additionally, BuildGroup was permitted to participate in such transaction. The sale of A-3 was to occur before June 30, 2023, and the proceeds were meant to redeem the CVR (see Note 3).</w:t>
      </w:r>
    </w:p>
    <w:p>
      <w:pPr>
        <w:spacing w:after="0" w:line="204" w:lineRule="exact"/>
        <w:rPr>
          <w:sz w:val="20"/>
          <w:szCs w:val="20"/>
          <w:color w:val="auto"/>
        </w:rPr>
      </w:pPr>
    </w:p>
    <w:p>
      <w:pPr>
        <w:jc w:val="both"/>
        <w:ind w:left="20" w:right="20" w:hanging="7"/>
        <w:spacing w:after="0" w:line="263" w:lineRule="auto"/>
        <w:rPr>
          <w:sz w:val="20"/>
          <w:szCs w:val="20"/>
          <w:color w:val="auto"/>
        </w:rPr>
      </w:pPr>
      <w:r>
        <w:rPr>
          <w:rFonts w:ascii="Times New Roman" w:cs="Times New Roman" w:eastAsia="Times New Roman" w:hAnsi="Times New Roman"/>
          <w:sz w:val="16"/>
          <w:szCs w:val="16"/>
          <w:color w:val="auto"/>
        </w:rPr>
        <w:t>Further, in conjunction with the Reorganization, Amelia Holdings elected to be taxed from December 21, 2022 forward as a C Corporation for U.S. Federal tax purposes. The Predecessor Parent is taxed as a Subchapter S Corporation. Up to the change in this election, the U.S. taxable income of the legal entities held by the Predecessor Parent that comprised the operations of Amelia were then transferred into AHII as allocated to its ownership, who were then responsible for paying the resulting taxes, or accumulating the carry-forward losses. Subsequent to the election to be taxed as a C Corporation, Amelia Holdings will directly incur U.S. Federal income taxes on its own operations. The acquired legal entities within Amelia will continue to incur income taxes for foreign tax obligations.</w:t>
      </w:r>
    </w:p>
    <w:p>
      <w:pPr>
        <w:spacing w:after="0" w:line="187" w:lineRule="exact"/>
        <w:rPr>
          <w:sz w:val="20"/>
          <w:szCs w:val="20"/>
          <w:color w:val="auto"/>
        </w:rPr>
      </w:pPr>
    </w:p>
    <w:p>
      <w:pPr>
        <w:jc w:val="both"/>
        <w:ind w:left="20" w:hanging="7"/>
        <w:spacing w:after="0" w:line="289" w:lineRule="auto"/>
        <w:rPr>
          <w:sz w:val="20"/>
          <w:szCs w:val="20"/>
          <w:color w:val="auto"/>
        </w:rPr>
      </w:pPr>
      <w:r>
        <w:rPr>
          <w:rFonts w:ascii="Times New Roman" w:cs="Times New Roman" w:eastAsia="Times New Roman" w:hAnsi="Times New Roman"/>
          <w:sz w:val="16"/>
          <w:szCs w:val="16"/>
          <w:color w:val="auto"/>
        </w:rPr>
        <w:t xml:space="preserve">Subsequent and in contemplation of the completion of these Reorganization transactions, the Company separately entered into a financing arrangement with Monroe Capital Management Advisors LLC (“Monroe Capital”) (See </w:t>
      </w:r>
      <w:r>
        <w:rPr>
          <w:rFonts w:ascii="Times New Roman" w:cs="Times New Roman" w:eastAsia="Times New Roman" w:hAnsi="Times New Roman"/>
          <w:sz w:val="16"/>
          <w:szCs w:val="16"/>
          <w:i w:val="1"/>
          <w:iCs w:val="1"/>
          <w:color w:val="auto"/>
        </w:rPr>
        <w:t>Note 6)</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jc w:val="both"/>
        <w:ind w:left="20" w:right="20" w:hanging="7"/>
        <w:spacing w:after="0" w:line="261" w:lineRule="auto"/>
        <w:rPr>
          <w:sz w:val="20"/>
          <w:szCs w:val="20"/>
          <w:color w:val="auto"/>
        </w:rPr>
      </w:pPr>
      <w:r>
        <w:rPr>
          <w:rFonts w:ascii="Times New Roman" w:cs="Times New Roman" w:eastAsia="Times New Roman" w:hAnsi="Times New Roman"/>
          <w:sz w:val="16"/>
          <w:szCs w:val="16"/>
          <w:color w:val="auto"/>
        </w:rPr>
        <w:t xml:space="preserve">As a result of the Reorganization, Amelia Holdings through an operating committee controlled by the Preferred A-1 and A-2 shareholders, acquired a controlling financial interest in Amelia on December 21, 2022, and the Reorganization was accounted for under Financial Accounting Standards Board’s Accounting Standards Codification (“ASC”) Topic 805, </w:t>
      </w:r>
      <w:r>
        <w:rPr>
          <w:rFonts w:ascii="Times New Roman" w:cs="Times New Roman" w:eastAsia="Times New Roman" w:hAnsi="Times New Roman"/>
          <w:sz w:val="16"/>
          <w:szCs w:val="16"/>
          <w:i w:val="1"/>
          <w:iCs w:val="1"/>
          <w:color w:val="auto"/>
        </w:rPr>
        <w:t>Business Combinations (“ASC 805”)</w:t>
      </w:r>
      <w:r>
        <w:rPr>
          <w:rFonts w:ascii="Times New Roman" w:cs="Times New Roman" w:eastAsia="Times New Roman" w:hAnsi="Times New Roman"/>
          <w:sz w:val="16"/>
          <w:szCs w:val="16"/>
          <w:color w:val="auto"/>
        </w:rPr>
        <w:t xml:space="preserve"> (“Amelia Business Combination”). Amelia Holdings was deemed to be the accounting acquirer and Amelia is the acquiree and accounting predecessor. Accordingly, the business combination is accounted for using the acquisition method, which requires the Company to record the fair value of assets acquired and liabilities assumed from Amelia, and the resulting new basis of accounting is reflected in the Company’s consolidated financial statements for all periods beginning December 21, 2022 (see Note 3)</w:t>
      </w:r>
      <w:r>
        <w:rPr>
          <w:rFonts w:ascii="Times New Roman" w:cs="Times New Roman" w:eastAsia="Times New Roman" w:hAnsi="Times New Roman"/>
          <w:sz w:val="16"/>
          <w:szCs w:val="16"/>
          <w:i w:val="1"/>
          <w:iCs w:val="1"/>
          <w:color w:val="auto"/>
        </w:rPr>
        <w:t>.</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80"/>
          </w:cols>
          <w:pgMar w:left="300" w:top="536"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20" w:hanging="7"/>
        <w:spacing w:after="0" w:line="289" w:lineRule="auto"/>
        <w:rPr>
          <w:sz w:val="20"/>
          <w:szCs w:val="20"/>
          <w:color w:val="auto"/>
        </w:rPr>
      </w:pPr>
      <w:r>
        <w:rPr>
          <w:rFonts w:ascii="Times New Roman" w:cs="Times New Roman" w:eastAsia="Times New Roman" w:hAnsi="Times New Roman"/>
          <w:sz w:val="16"/>
          <w:szCs w:val="16"/>
          <w:color w:val="auto"/>
        </w:rPr>
        <w:t>On June 30, 2023, the holders of common stock executed a call option on the Senior Series A Preferred Stock (see Note 12). An agreement on that date between common stockholder and the holder of Senior Series A Preferred stock established:</w:t>
      </w:r>
    </w:p>
    <w:p>
      <w:pPr>
        <w:spacing w:after="0" w:line="191" w:lineRule="exact"/>
        <w:rPr>
          <w:sz w:val="20"/>
          <w:szCs w:val="20"/>
          <w:color w:val="auto"/>
        </w:rPr>
      </w:pPr>
    </w:p>
    <w:p>
      <w:pPr>
        <w:ind w:left="600" w:right="20" w:hanging="290"/>
        <w:spacing w:after="0" w:line="245" w:lineRule="auto"/>
        <w:tabs>
          <w:tab w:leader="none" w:pos="595"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There would be a period from the execution of the agreement, through March 31, 2024 within which to raise funds and complete a definitive agreement to affect the repurchase of Senior Series A Preferred Stock. If not completed, the effort would be deemed a Transaction Failure.</w:t>
      </w:r>
    </w:p>
    <w:p>
      <w:pPr>
        <w:spacing w:after="0" w:line="223" w:lineRule="exact"/>
        <w:rPr>
          <w:rFonts w:ascii="Times New Roman" w:cs="Times New Roman" w:eastAsia="Times New Roman" w:hAnsi="Times New Roman"/>
          <w:sz w:val="20"/>
          <w:szCs w:val="20"/>
          <w:color w:val="auto"/>
        </w:rPr>
      </w:pPr>
    </w:p>
    <w:p>
      <w:pPr>
        <w:ind w:left="600" w:right="20" w:hanging="290"/>
        <w:spacing w:after="0" w:line="235" w:lineRule="auto"/>
        <w:tabs>
          <w:tab w:leader="none" w:pos="595"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Upon a Transaction Failure, BuildGroup, as the holder of Senior Series A Preferred Stock would once again be authorized to buy up to $40 million of Series A-3 preferred stock, and the Company would be authorized to issue such preferred stock for a period of 90 days.</w:t>
      </w:r>
    </w:p>
    <w:p>
      <w:pPr>
        <w:spacing w:after="0" w:line="240" w:lineRule="exact"/>
        <w:rPr>
          <w:rFonts w:ascii="Times New Roman" w:cs="Times New Roman" w:eastAsia="Times New Roman" w:hAnsi="Times New Roman"/>
          <w:sz w:val="20"/>
          <w:szCs w:val="20"/>
          <w:color w:val="auto"/>
        </w:rPr>
      </w:pPr>
    </w:p>
    <w:p>
      <w:pPr>
        <w:ind w:left="600" w:right="20" w:hanging="290"/>
        <w:spacing w:after="0" w:line="235" w:lineRule="auto"/>
        <w:tabs>
          <w:tab w:leader="none" w:pos="595"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A Transaction Failure would result in a Drag-Along Trigger, allowing the holders of the majority of Senior Series A Preferred Stock to negotiate and complete a sale of the company at their discretion.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March 31, 2024, a Transaction Failure occurred.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SUMMARY OF SIGNIFICANT ACCOUNTING POLICIES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Basis of Presentation</w:t>
      </w:r>
    </w:p>
    <w:p>
      <w:pPr>
        <w:spacing w:after="0" w:line="233"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The Company prepares its consolidated and combined financial statements (collectively referred to herein as “financial statements”) in accordance with U.S. generally accepted accounting principles (“GAAP”).</w:t>
      </w:r>
    </w:p>
    <w:p>
      <w:pPr>
        <w:spacing w:after="0" w:line="154" w:lineRule="exact"/>
        <w:rPr>
          <w:sz w:val="20"/>
          <w:szCs w:val="20"/>
          <w:color w:val="auto"/>
        </w:rPr>
      </w:pPr>
    </w:p>
    <w:p>
      <w:pPr>
        <w:jc w:val="both"/>
        <w:ind w:left="20" w:right="20" w:hanging="7"/>
        <w:spacing w:after="0" w:line="271" w:lineRule="auto"/>
        <w:rPr>
          <w:sz w:val="20"/>
          <w:szCs w:val="20"/>
          <w:color w:val="auto"/>
        </w:rPr>
      </w:pPr>
      <w:r>
        <w:rPr>
          <w:rFonts w:ascii="Times New Roman" w:cs="Times New Roman" w:eastAsia="Times New Roman" w:hAnsi="Times New Roman"/>
          <w:sz w:val="16"/>
          <w:szCs w:val="16"/>
          <w:color w:val="auto"/>
        </w:rPr>
        <w:t>The accompanying consolidated financial statements and information are presented on a Successor and Predecessor basis. References to Predecessor refer to the results of operations, cash flows and financial position of Amelia prior to the closing of the Amelia Business Combination. References to Successor refer to the consolidated financial position and operations of Amelia Holdings beginning December 21, 2022.</w:t>
      </w:r>
    </w:p>
    <w:p>
      <w:pPr>
        <w:spacing w:after="0" w:line="181" w:lineRule="exact"/>
        <w:rPr>
          <w:sz w:val="20"/>
          <w:szCs w:val="20"/>
          <w:color w:val="auto"/>
        </w:rPr>
      </w:pPr>
    </w:p>
    <w:p>
      <w:pPr>
        <w:jc w:val="both"/>
        <w:ind w:left="20" w:right="20" w:hanging="7"/>
        <w:spacing w:after="0" w:line="266" w:lineRule="auto"/>
        <w:rPr>
          <w:sz w:val="20"/>
          <w:szCs w:val="20"/>
          <w:color w:val="auto"/>
        </w:rPr>
      </w:pPr>
      <w:r>
        <w:rPr>
          <w:rFonts w:ascii="Times New Roman" w:cs="Times New Roman" w:eastAsia="Times New Roman" w:hAnsi="Times New Roman"/>
          <w:sz w:val="16"/>
          <w:szCs w:val="16"/>
          <w:color w:val="auto"/>
        </w:rPr>
        <w:t>The Predecessor is presented on a combined basis as of and for the year ended December 31, 2021, and for the period from January 1, 2022, through December 20, 2022 (Predecessor Period). The Successor is presented on a consolidated basis as of December 31, 2023 and 2022 and for the year ended December 31, 2023 and for the period from December 21, 2022, through December 31, 2022 (Successor Period). All intercompany accounts and transactions have been eliminated. Prior to December 21, 2022, Amelia Holdings had no significant operations.</w:t>
      </w:r>
    </w:p>
    <w:p>
      <w:pPr>
        <w:spacing w:after="0" w:line="184" w:lineRule="exact"/>
        <w:rPr>
          <w:sz w:val="20"/>
          <w:szCs w:val="20"/>
          <w:color w:val="auto"/>
        </w:rPr>
      </w:pPr>
    </w:p>
    <w:p>
      <w:pPr>
        <w:jc w:val="both"/>
        <w:ind w:left="20" w:hanging="7"/>
        <w:spacing w:after="0" w:line="263" w:lineRule="auto"/>
        <w:rPr>
          <w:sz w:val="20"/>
          <w:szCs w:val="20"/>
          <w:color w:val="auto"/>
        </w:rPr>
      </w:pPr>
      <w:r>
        <w:rPr>
          <w:rFonts w:ascii="Times New Roman" w:cs="Times New Roman" w:eastAsia="Times New Roman" w:hAnsi="Times New Roman"/>
          <w:sz w:val="16"/>
          <w:szCs w:val="16"/>
          <w:color w:val="auto"/>
        </w:rPr>
        <w:t xml:space="preserve">Following the application of the acquisition method of accounting under the scope of ASC 805 as of the closing of the Amelia Business Combination, the financial statements for the Predecessor and the Successor are presented on a different basis of accounting and are, therefore not comparable primarily due to the impacts of the Amelia Business Combination, including the application of acquisition accounting in the Successor financial statements as of December 21, 2022, as further described in </w:t>
      </w:r>
      <w:r>
        <w:rPr>
          <w:rFonts w:ascii="Times New Roman" w:cs="Times New Roman" w:eastAsia="Times New Roman" w:hAnsi="Times New Roman"/>
          <w:sz w:val="16"/>
          <w:szCs w:val="16"/>
          <w:i w:val="1"/>
          <w:iCs w:val="1"/>
          <w:color w:val="auto"/>
        </w:rPr>
        <w:t xml:space="preserve">Note 3, </w:t>
      </w:r>
      <w:r>
        <w:rPr>
          <w:rFonts w:ascii="Times New Roman" w:cs="Times New Roman" w:eastAsia="Times New Roman" w:hAnsi="Times New Roman"/>
          <w:sz w:val="16"/>
          <w:szCs w:val="16"/>
          <w:color w:val="auto"/>
        </w:rPr>
        <w:t>of which the most significant impacts are (i) the increased amortization expense for intangible assets; (ii) additional interest expense associated with debt financing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arrangements entered into concurrent with the Reorganization; and (iii) non-recurring transaction costs attributable to the Amelia Business Combination.</w:t>
      </w:r>
    </w:p>
    <w:p>
      <w:pPr>
        <w:spacing w:after="0" w:line="187" w:lineRule="exact"/>
        <w:rPr>
          <w:sz w:val="20"/>
          <w:szCs w:val="20"/>
          <w:color w:val="auto"/>
        </w:rPr>
      </w:pPr>
    </w:p>
    <w:p>
      <w:pPr>
        <w:jc w:val="both"/>
        <w:ind w:left="20" w:right="20" w:hanging="7"/>
        <w:spacing w:after="0" w:line="261" w:lineRule="auto"/>
        <w:rPr>
          <w:sz w:val="20"/>
          <w:szCs w:val="20"/>
          <w:color w:val="auto"/>
        </w:rPr>
      </w:pPr>
      <w:r>
        <w:rPr>
          <w:rFonts w:ascii="Times New Roman" w:cs="Times New Roman" w:eastAsia="Times New Roman" w:hAnsi="Times New Roman"/>
          <w:sz w:val="16"/>
          <w:szCs w:val="16"/>
          <w:color w:val="auto"/>
        </w:rPr>
        <w:t>The Predecessor business operated as a group of legal entities and contractual relationships held directly by the Predecessor Parent and not as a standalone company during the periods presented. These financial statements are presented on a combined basis due to the fact that the final steps of the Reorganization, including the contribution of all the legal entities that comprise the Company following the Amelia Business Combination, were not completed until the Reorganization was completed. Standalone financial statements have not been historically prepared for the Predecessor. The accompanying combined financial statements for the Predecessor have been prepared from the Predecessor Parent’s historical accounting records and are presented on a “carve out” basis to include the results of operations, net Parent investment, and cash flows applicable to the Predecessor. As a direct ownership relationship did not exist among all the various operating units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80"/>
          </w:cols>
          <w:pgMar w:left="300" w:top="536" w:right="31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20" w:right="20"/>
        <w:spacing w:after="0" w:line="259" w:lineRule="auto"/>
        <w:rPr>
          <w:sz w:val="20"/>
          <w:szCs w:val="20"/>
          <w:color w:val="auto"/>
        </w:rPr>
      </w:pPr>
      <w:r>
        <w:rPr>
          <w:rFonts w:ascii="Times New Roman" w:cs="Times New Roman" w:eastAsia="Times New Roman" w:hAnsi="Times New Roman"/>
          <w:sz w:val="16"/>
          <w:szCs w:val="16"/>
          <w:color w:val="auto"/>
        </w:rPr>
        <w:t xml:space="preserve">comprising the Predecessor, the Predecessor Parent’s investment during the Predecessor Period is shown as net Parent investment in lieu of stockholders’ equity in the combined financial statements. The combined statements of operations include all revenues and costs directly attributable to the Predecessor as well as an allocation of expenses related to functions and services performed by the Predecessor Parent organization. These expenses have been allocated to the Predecessor based on direct usage or benefit, where identifiable, with the remainder allocated on a pro rata basis of revenues or headcount, on a basis which the Company believes is reflective of the usage or benefit. The combined statements of Cash Flows present these expenses that are cash in nature as cash flows from operating activities, consistent with the nature of these costs at the Predecessor Parent. Current and deferred income taxes and related expenses have been determined based on the standalone results of the Predecessor by applying Accounting Standards Codification No.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(“ASC 740”), to the Predecessor as if it were a separate taxpayer (i.e., following the Separate Return Methodology).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Transactions between the Predecessor Parent and the Predecessor are effectively settled at the time the transaction is recorded.</w:t>
      </w:r>
    </w:p>
    <w:p>
      <w:pPr>
        <w:spacing w:after="0" w:line="218" w:lineRule="exact"/>
        <w:rPr>
          <w:sz w:val="20"/>
          <w:szCs w:val="20"/>
          <w:color w:val="auto"/>
        </w:rPr>
      </w:pPr>
    </w:p>
    <w:p>
      <w:pPr>
        <w:jc w:val="both"/>
        <w:ind w:left="20" w:right="20" w:hanging="7"/>
        <w:spacing w:after="0" w:line="271" w:lineRule="auto"/>
        <w:rPr>
          <w:sz w:val="20"/>
          <w:szCs w:val="20"/>
          <w:color w:val="auto"/>
        </w:rPr>
      </w:pPr>
      <w:r>
        <w:rPr>
          <w:rFonts w:ascii="Times New Roman" w:cs="Times New Roman" w:eastAsia="Times New Roman" w:hAnsi="Times New Roman"/>
          <w:sz w:val="16"/>
          <w:szCs w:val="16"/>
          <w:color w:val="auto"/>
        </w:rPr>
        <w:t>All allocations in the combined financial statements are based on assumptions that management believes are reasonable. However, the combined financial statements included herein may not be indicative of the financial position, results of operations and cash flows of the Amelia Component business in the future or if the Amelia Component business had been a separate, standalone entity during the Predecessor Periods presented.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Going Concern</w:t>
      </w:r>
    </w:p>
    <w:p>
      <w:pPr>
        <w:spacing w:after="0" w:line="220" w:lineRule="exact"/>
        <w:rPr>
          <w:sz w:val="20"/>
          <w:szCs w:val="20"/>
          <w:color w:val="auto"/>
        </w:rPr>
      </w:pPr>
    </w:p>
    <w:p>
      <w:pPr>
        <w:jc w:val="both"/>
        <w:ind w:left="20" w:hanging="7"/>
        <w:spacing w:after="0" w:line="258" w:lineRule="auto"/>
        <w:rPr>
          <w:sz w:val="20"/>
          <w:szCs w:val="20"/>
          <w:color w:val="auto"/>
        </w:rPr>
      </w:pPr>
      <w:r>
        <w:rPr>
          <w:rFonts w:ascii="Times New Roman" w:cs="Times New Roman" w:eastAsia="Times New Roman" w:hAnsi="Times New Roman"/>
          <w:sz w:val="16"/>
          <w:szCs w:val="16"/>
          <w:color w:val="auto"/>
        </w:rPr>
        <w:t>These financial statements have been prepared on the assumption that the Company will continue as a going concern, meaning it will continue in operation for the foreseeable future and will be able to realize assets and discharge liabilities in the ordinary course of operations. The Company, inclusive of its Predecessor operations, has historically operated at a loss and has not consistently generated sufficient cash flows from operations to cover its operating and other cash expenses. These factors raise substantial doubt about the Company’s ability to continue as a going concern. The financial statements do not include any adjustments relating to the recoverability and classification of recorded assets, or the amounts or classification of liabilities that might be necessary in the event the Company cannot continue in existence. The Company’s operating losses, declining cash balance and corresponding need for funding has necessitated the need to explore potential avenues for raising capital through debt or equity, to overcome these difficulties. If the Company is unable to obtain additional financing, the lack of liquidity could have a material adverse effect on the Company’s future operating plans. The Company will continue to aggressively pursue available financing opportunities, work with customers to grow future sales and continue to control costs. While the Company believes in the viability of its strategy there can be no assurances to that effect.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Use of Estimates</w:t>
      </w:r>
    </w:p>
    <w:p>
      <w:pPr>
        <w:spacing w:after="0" w:line="233"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The preparation of consolidated financial statements in conformity with U.S. GAAP requires management to make estimates, judgements and assumptions that affect the amounts reported in the consolidated and combined financial statements and accompanying notes.</w:t>
      </w:r>
    </w:p>
    <w:p>
      <w:pPr>
        <w:spacing w:after="0" w:line="154" w:lineRule="exact"/>
        <w:rPr>
          <w:sz w:val="20"/>
          <w:szCs w:val="20"/>
          <w:color w:val="auto"/>
        </w:rPr>
      </w:pPr>
    </w:p>
    <w:p>
      <w:pPr>
        <w:jc w:val="both"/>
        <w:ind w:left="20" w:right="20" w:hanging="7"/>
        <w:spacing w:after="0" w:line="260" w:lineRule="auto"/>
        <w:rPr>
          <w:sz w:val="20"/>
          <w:szCs w:val="20"/>
          <w:color w:val="auto"/>
        </w:rPr>
      </w:pPr>
      <w:r>
        <w:rPr>
          <w:rFonts w:ascii="Times New Roman" w:cs="Times New Roman" w:eastAsia="Times New Roman" w:hAnsi="Times New Roman"/>
          <w:sz w:val="16"/>
          <w:szCs w:val="16"/>
          <w:color w:val="auto"/>
        </w:rPr>
        <w:t>Management evaluates its estimates and assumptions on an ongoing basis using historical experience and other factors, including the current economic environment, which management believes to be reasonable under the circumstances. Such estimates include, but are not limited to, revenue recognition, the expected benefit period of deferred sales commissions, the accounting for accrued liabilities, the allowance for expected credit losses, purchase price allocation of acquired businesses, the valuation of intangible assets and goodwill, and the accounting for income taxes and the related valuation allowance.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 due to risks and uncertainties.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80"/>
          </w:cols>
          <w:pgMar w:left="300" w:top="536" w:right="31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Cash and Cash Equivalents</w:t>
      </w:r>
    </w:p>
    <w:p>
      <w:pPr>
        <w:spacing w:after="0" w:line="220" w:lineRule="exact"/>
        <w:rPr>
          <w:sz w:val="20"/>
          <w:szCs w:val="20"/>
          <w:color w:val="auto"/>
        </w:rPr>
      </w:pPr>
    </w:p>
    <w:p>
      <w:pPr>
        <w:jc w:val="both"/>
        <w:ind w:left="20" w:hanging="7"/>
        <w:spacing w:after="0" w:line="263" w:lineRule="auto"/>
        <w:rPr>
          <w:sz w:val="20"/>
          <w:szCs w:val="20"/>
          <w:color w:val="auto"/>
        </w:rPr>
      </w:pPr>
      <w:r>
        <w:rPr>
          <w:rFonts w:ascii="Times New Roman" w:cs="Times New Roman" w:eastAsia="Times New Roman" w:hAnsi="Times New Roman"/>
          <w:sz w:val="16"/>
          <w:szCs w:val="16"/>
          <w:color w:val="auto"/>
        </w:rPr>
        <w:t>The Company maintains accounts of cash and cash equivalents with several high credit-quality financial institutions. Cash equivalents may include short-term, highly liquid investments that are readily convertible to cash, with original maturities of three months or less at the date of purchase. The Company maintains its cash and cash equivalents in bank accounts which, at times, exceed the federally insured limits. The Company has not experienced any losses in such accounts. The Company held U.S. Treasury securities in the amount of $10.1 million (Level 1 measurement) that are classified as cash equivalents on December 31, 2023 (Successor). The Company held no cash equivalents on December 31, 2022 (Successor).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Accounts Receivable and Allowance for Credit Losses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Accounts receivables are recorded at the invoiced amount, do not bear interest and are presented net of an allowance for credit losses.</w:t>
      </w:r>
    </w:p>
    <w:p>
      <w:pPr>
        <w:spacing w:after="0" w:line="218" w:lineRule="exact"/>
        <w:rPr>
          <w:sz w:val="20"/>
          <w:szCs w:val="20"/>
          <w:color w:val="auto"/>
        </w:rPr>
      </w:pPr>
    </w:p>
    <w:p>
      <w:pPr>
        <w:jc w:val="both"/>
        <w:ind w:left="20" w:right="20" w:hanging="7"/>
        <w:spacing w:after="0" w:line="260" w:lineRule="auto"/>
        <w:rPr>
          <w:sz w:val="20"/>
          <w:szCs w:val="20"/>
          <w:color w:val="auto"/>
        </w:rPr>
      </w:pPr>
      <w:r>
        <w:rPr>
          <w:rFonts w:ascii="Times New Roman" w:cs="Times New Roman" w:eastAsia="Times New Roman" w:hAnsi="Times New Roman"/>
          <w:sz w:val="16"/>
          <w:szCs w:val="16"/>
          <w:color w:val="auto"/>
        </w:rPr>
        <w:t>An allowance for credit losses is recorded to provide for estimated losses resulting from uncollectible accounts and is based principally on historic collection trends, write-offs, the aging of receivables and specifically identified amounts where collection is determined to be doubtful. Management analyzes the collectability of accounts receivable balances and the adequacy of the allowance for credit losses on a regular basis taking into consideration the aging of the account balances, historical bad debt experience, customer concentration, customer creditworthiness, customer financial condition and credit reports and the current and expected economic conditions. If the financial condition of our clients were to deteriorate, resulting in an impairment of their ability to make payments, additional allowance may be required. Account balances are charged off against the allowance when all means of collection have been exhausted and the potential for recovery is remote. As of December 31, 2023 and 2022 (Successor), the allowance for expected credit losses was $694 thousand and zero, respectively.</w:t>
      </w:r>
    </w:p>
    <w:p>
      <w:pPr>
        <w:spacing w:after="0" w:line="190" w:lineRule="exact"/>
        <w:rPr>
          <w:sz w:val="20"/>
          <w:szCs w:val="20"/>
          <w:color w:val="auto"/>
        </w:rPr>
      </w:pPr>
    </w:p>
    <w:p>
      <w:pPr>
        <w:jc w:val="both"/>
        <w:ind w:left="20" w:right="20" w:hanging="7"/>
        <w:spacing w:after="0" w:line="271" w:lineRule="auto"/>
        <w:rPr>
          <w:sz w:val="20"/>
          <w:szCs w:val="20"/>
          <w:color w:val="auto"/>
        </w:rPr>
      </w:pPr>
      <w:r>
        <w:rPr>
          <w:rFonts w:ascii="Times New Roman" w:cs="Times New Roman" w:eastAsia="Times New Roman" w:hAnsi="Times New Roman"/>
          <w:sz w:val="16"/>
          <w:szCs w:val="16"/>
          <w:color w:val="auto"/>
        </w:rPr>
        <w:t>Unbilled receivables are recorded when revenue recognized on a contract exceeds the billings to date for that contract and the right to consideration is unconditional when only passage of time is required before payment of that consideration is due. Unbilled receivables totaled $2.1 million and $3.1 million as of December 31, 2023 and 2022 (Successor), respectively, and were recorded within accounts receivable, net on the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Deferred Sales Commissions</w:t>
      </w:r>
    </w:p>
    <w:p>
      <w:pPr>
        <w:spacing w:after="0" w:line="220" w:lineRule="exact"/>
        <w:rPr>
          <w:sz w:val="20"/>
          <w:szCs w:val="20"/>
          <w:color w:val="auto"/>
        </w:rPr>
      </w:pPr>
    </w:p>
    <w:p>
      <w:pPr>
        <w:jc w:val="both"/>
        <w:ind w:left="20" w:right="20" w:hanging="7"/>
        <w:spacing w:after="0" w:line="271" w:lineRule="auto"/>
        <w:rPr>
          <w:sz w:val="20"/>
          <w:szCs w:val="20"/>
          <w:color w:val="auto"/>
        </w:rPr>
      </w:pPr>
      <w:r>
        <w:rPr>
          <w:rFonts w:ascii="Times New Roman" w:cs="Times New Roman" w:eastAsia="Times New Roman" w:hAnsi="Times New Roman"/>
          <w:sz w:val="16"/>
          <w:szCs w:val="16"/>
          <w:color w:val="auto"/>
        </w:rPr>
        <w:t>The Company capitalizes certain sales commissions, including related payroll taxes, earned by the Company’s sales force, which are incremental costs that would not be incurred absent the contract, and considered to be recoverable costs of acquiring a contract with a customer. Deferred sales commissions are stated at cost, net of accumulated amortization, when capitalized amounts are expected to be recoverable through future revenue streams under all customer contracts.</w:t>
      </w:r>
    </w:p>
    <w:p>
      <w:pPr>
        <w:spacing w:after="0" w:line="181" w:lineRule="exact"/>
        <w:rPr>
          <w:sz w:val="20"/>
          <w:szCs w:val="20"/>
          <w:color w:val="auto"/>
        </w:rPr>
      </w:pPr>
    </w:p>
    <w:p>
      <w:pPr>
        <w:jc w:val="both"/>
        <w:ind w:left="20" w:hanging="7"/>
        <w:spacing w:after="0" w:line="263" w:lineRule="auto"/>
        <w:rPr>
          <w:sz w:val="20"/>
          <w:szCs w:val="20"/>
          <w:color w:val="auto"/>
        </w:rPr>
      </w:pPr>
      <w:r>
        <w:rPr>
          <w:rFonts w:ascii="Times New Roman" w:cs="Times New Roman" w:eastAsia="Times New Roman" w:hAnsi="Times New Roman"/>
          <w:sz w:val="16"/>
          <w:szCs w:val="16"/>
          <w:color w:val="auto"/>
        </w:rPr>
        <w:t>Costs capitalized related to new revenue contracts are amortized on a straight-line basis over an estimated benefit period, which the Company has determined to range from 4 to 5 years based on the related product or service offering sold. In arriving at these average benefit periods, the Company evaluated both qualitative and quantitative factors which included the estimated life cycles of its offerings and its customer attrition. The period of benefit often extends beyond the contract term, as amounts paid on renewals are not commensurate with the amounts paid on the initial contract. The Company periodically evaluates whether there have been any changes in its business, market conditions, or other events which would indicate that its amortization period should be changed, or if there are potential indicators of impairment.</w:t>
      </w:r>
    </w:p>
    <w:p>
      <w:pPr>
        <w:spacing w:after="0" w:line="187" w:lineRule="exact"/>
        <w:rPr>
          <w:sz w:val="20"/>
          <w:szCs w:val="20"/>
          <w:color w:val="auto"/>
        </w:rPr>
      </w:pPr>
    </w:p>
    <w:p>
      <w:pPr>
        <w:jc w:val="both"/>
        <w:ind w:left="20" w:right="20" w:hanging="7"/>
        <w:spacing w:after="0" w:line="263" w:lineRule="auto"/>
        <w:rPr>
          <w:sz w:val="20"/>
          <w:szCs w:val="20"/>
          <w:color w:val="auto"/>
        </w:rPr>
      </w:pPr>
      <w:r>
        <w:rPr>
          <w:rFonts w:ascii="Times New Roman" w:cs="Times New Roman" w:eastAsia="Times New Roman" w:hAnsi="Times New Roman"/>
          <w:sz w:val="16"/>
          <w:szCs w:val="16"/>
          <w:color w:val="auto"/>
        </w:rPr>
        <w:t>Deferred commission costs capitalized during the year ended December 31, 2023 (Successor), for the period from December 21, 2022 through December 31, 2022 (Successor), and for the period from January 1, 2022 through December 20, 2022 (Predecessor), were $3.7 million, zero, and $3.6 million, respectively. Amortization of deferred commission costs amounted to approximately $388 thousand, zero, and $3.6 million for the year ended December 31, 2023 (Successor), for the period from December 21, 2022 through December 31, 2022 (Successor), and for the period from January 1, 2022 through December 20, 2022 (Predecessor), respectively, and are included in sales and marketing in the accompanying consolidated and combined statements of operations and comprehensive loss. There were no impairments of costs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280"/>
          </w:cols>
          <w:pgMar w:left="300" w:top="536"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20" w:right="20"/>
        <w:spacing w:after="0" w:line="289" w:lineRule="auto"/>
        <w:rPr>
          <w:sz w:val="20"/>
          <w:szCs w:val="20"/>
          <w:color w:val="auto"/>
        </w:rPr>
      </w:pPr>
      <w:r>
        <w:rPr>
          <w:rFonts w:ascii="Times New Roman" w:cs="Times New Roman" w:eastAsia="Times New Roman" w:hAnsi="Times New Roman"/>
          <w:sz w:val="16"/>
          <w:szCs w:val="16"/>
          <w:color w:val="auto"/>
        </w:rPr>
        <w:t>capitalized to obtain revenue contracts for the year ended December 31, 2023 (Successor), and for the Successor period from December 21, 2022, through December 31,2022, and for the Predecessor period from January 1, 2022, through December 20, 2022,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Property and Equipment</w:t>
      </w:r>
    </w:p>
    <w:p>
      <w:pPr>
        <w:spacing w:after="0" w:line="220" w:lineRule="exact"/>
        <w:rPr>
          <w:sz w:val="20"/>
          <w:szCs w:val="20"/>
          <w:color w:val="auto"/>
        </w:rPr>
      </w:pPr>
    </w:p>
    <w:p>
      <w:pPr>
        <w:jc w:val="both"/>
        <w:ind w:left="20" w:right="20" w:hanging="7"/>
        <w:spacing w:after="0" w:line="271" w:lineRule="auto"/>
        <w:rPr>
          <w:sz w:val="20"/>
          <w:szCs w:val="20"/>
          <w:color w:val="auto"/>
        </w:rPr>
      </w:pPr>
      <w:r>
        <w:rPr>
          <w:rFonts w:ascii="Times New Roman" w:cs="Times New Roman" w:eastAsia="Times New Roman" w:hAnsi="Times New Roman"/>
          <w:sz w:val="16"/>
          <w:szCs w:val="16"/>
          <w:color w:val="auto"/>
        </w:rPr>
        <w:t>Property and equipment are stated at cost, less accumulated depreciation and amortization. Depreciation and amortization is computed using the straight-line method over the estimated useful lives of the related assets. Assets accounted for as capital leases are amortized on a straight-line method over the shorter of the remaining lease term or the estimated useful life. Maintenance and repairs are charged to operations when incurred.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Impairment of Long-Lived Assets</w:t>
      </w:r>
    </w:p>
    <w:p>
      <w:pPr>
        <w:spacing w:after="0" w:line="220" w:lineRule="exact"/>
        <w:rPr>
          <w:sz w:val="20"/>
          <w:szCs w:val="20"/>
          <w:color w:val="auto"/>
        </w:rPr>
      </w:pPr>
    </w:p>
    <w:p>
      <w:pPr>
        <w:jc w:val="both"/>
        <w:ind w:left="20" w:right="20" w:hanging="7"/>
        <w:spacing w:after="0" w:line="266" w:lineRule="auto"/>
        <w:rPr>
          <w:sz w:val="20"/>
          <w:szCs w:val="20"/>
          <w:color w:val="auto"/>
        </w:rPr>
      </w:pPr>
      <w:r>
        <w:rPr>
          <w:rFonts w:ascii="Times New Roman" w:cs="Times New Roman" w:eastAsia="Times New Roman" w:hAnsi="Times New Roman"/>
          <w:sz w:val="16"/>
          <w:szCs w:val="16"/>
          <w:color w:val="auto"/>
        </w:rPr>
        <w:t>Long-lived assets, such as property and equipment and intangible assets, are reviewed for impairment whenever events or changes in circumstances indicate that the carrying amount of the asset may not be recoverable. The recoverability of assets to be held and used is measured by a comparison of the carrying amount of an asset to the estimated undiscounted future net cash flows expected to be generated by the asset. If the carrying amount of an asset or group of assets exceeds its estimated undiscounted future cash flows, an impairment charge is recognized in the amount by which the carrying value of the asset exceeds the fair value of the asset.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impairment charge for property and equipment and intangible assets was recorded in either the Successor or Predecessor periods.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Goodwill</w:t>
      </w:r>
    </w:p>
    <w:p>
      <w:pPr>
        <w:spacing w:after="0" w:line="220" w:lineRule="exact"/>
        <w:rPr>
          <w:sz w:val="20"/>
          <w:szCs w:val="20"/>
          <w:color w:val="auto"/>
        </w:rPr>
      </w:pPr>
    </w:p>
    <w:p>
      <w:pPr>
        <w:jc w:val="both"/>
        <w:ind w:left="20" w:hanging="7"/>
        <w:spacing w:after="0" w:line="257" w:lineRule="auto"/>
        <w:rPr>
          <w:sz w:val="20"/>
          <w:szCs w:val="20"/>
          <w:color w:val="auto"/>
        </w:rPr>
      </w:pPr>
      <w:r>
        <w:rPr>
          <w:rFonts w:ascii="Times New Roman" w:cs="Times New Roman" w:eastAsia="Times New Roman" w:hAnsi="Times New Roman"/>
          <w:sz w:val="16"/>
          <w:szCs w:val="16"/>
          <w:color w:val="auto"/>
        </w:rPr>
        <w:t>The Company recorded goodwill resulting from the Amelia Business Combination as further described in Note 3 below. Goodwill represents the fair value of acquired businesses in excess of the fair value of the individually identified net assets acquired. Goodwill is not amortized but is tested for impairment on an annual basis, or more frequently if events or changes in circumstances indicate that an impairment may exist. The Company assesses qualitative factors to determine whether it is necessary to perform a quantitative assessment for each reporting unit. If the quantitative assessment is necessary, the Company will determine the fair value of each reporting unit. If the fair value of the reporting unit is less than the carrying amount, the Company will recognize an impairment charge for the amount by which the carrying amount exceeds the reporting unit’s fair value. The loss recognized will not exceed the total amount of goodwill allocated to the reporting unit. The Company’s annual impairment testing date is December 31. Determining fair value requires the exercise of significant judgments, including judgments about appropriate discount rates, long-term growth rates, relevant comparable company earnings multiples and the amount and timing of expected future cash flows. The discount and long-term growth rates utilized in the annual impairment assessment for the year ended December 31, 2023 were 22.5% and 3.0%, respectively. The resulting fair value measurement is considered to be a Level 3 measurement. For the purpose of testing goodwill for impairment, the Company has determined that the Company has a single reporting unit. There was no impairment of goodwill for the year ended December 31, 2023 (Successor) and for the Successor period from December 21, 2022, through December 31, 2022.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Software Development Costs</w:t>
      </w:r>
    </w:p>
    <w:p>
      <w:pPr>
        <w:spacing w:after="0" w:line="220" w:lineRule="exact"/>
        <w:rPr>
          <w:sz w:val="20"/>
          <w:szCs w:val="20"/>
          <w:color w:val="auto"/>
        </w:rPr>
      </w:pPr>
    </w:p>
    <w:p>
      <w:pPr>
        <w:jc w:val="both"/>
        <w:ind w:left="20" w:right="20" w:hanging="7"/>
        <w:spacing w:after="0" w:line="260" w:lineRule="auto"/>
        <w:rPr>
          <w:sz w:val="20"/>
          <w:szCs w:val="20"/>
          <w:color w:val="auto"/>
        </w:rPr>
      </w:pPr>
      <w:r>
        <w:rPr>
          <w:rFonts w:ascii="Times New Roman" w:cs="Times New Roman" w:eastAsia="Times New Roman" w:hAnsi="Times New Roman"/>
          <w:sz w:val="16"/>
          <w:szCs w:val="16"/>
          <w:color w:val="auto"/>
        </w:rPr>
        <w:t xml:space="preserve">Historically, the Predecessor incurred software development costs for software to be sold, leased, or otherwise marketed. Software development costs of this nature are expensed as incurred until technological feasibility has been established, at which time those costs are capitalized until the product is available for general release to customers. To date, the Predecessor’s software has been available for general release concurrent with the establishment of technological feasibility and, accordingly, the Predecessor did not capitalize any development costs. Costs incurred to enhance existing products or after the general release of the service using the product are expensed in the period they are incurred and are primarily included in employee related costs in our consolidated and combined statements of operations and comprehensive loss. As a result of the Amelia Business Combination, the Company acquired developed technology, </w:t>
      </w:r>
      <w:r>
        <w:rPr>
          <w:rFonts w:ascii="Times New Roman" w:cs="Times New Roman" w:eastAsia="Times New Roman" w:hAnsi="Times New Roman"/>
          <w:sz w:val="16"/>
          <w:szCs w:val="16"/>
          <w:i w:val="1"/>
          <w:iCs w:val="1"/>
          <w:color w:val="auto"/>
        </w:rPr>
        <w:t>See Note 3</w:t>
      </w:r>
      <w:r>
        <w:rPr>
          <w:rFonts w:ascii="Times New Roman" w:cs="Times New Roman" w:eastAsia="Times New Roman" w:hAnsi="Times New Roman"/>
          <w:sz w:val="16"/>
          <w:szCs w:val="16"/>
          <w:color w:val="auto"/>
        </w:rPr>
        <w:t>, that the Company will primarily utilize to provide SaaS products. As such it is expected that future software development costs will be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280"/>
          </w:cols>
          <w:pgMar w:left="300" w:top="536" w:right="31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6"/>
          <w:szCs w:val="16"/>
          <w:color w:val="auto"/>
        </w:rPr>
        <w:t xml:space="preserve">incurred to acquire, develop, or modify existing technology solely to meet internal requirements, with no substantive plans to market such software at the time of development. In accordance with ASC 350-40, </w:t>
      </w:r>
      <w:r>
        <w:rPr>
          <w:rFonts w:ascii="Times New Roman" w:cs="Times New Roman" w:eastAsia="Times New Roman" w:hAnsi="Times New Roman"/>
          <w:sz w:val="16"/>
          <w:szCs w:val="16"/>
          <w:i w:val="1"/>
          <w:iCs w:val="1"/>
          <w:color w:val="auto"/>
        </w:rPr>
        <w:t>Internal-Use Software</w:t>
      </w:r>
      <w:r>
        <w:rPr>
          <w:rFonts w:ascii="Times New Roman" w:cs="Times New Roman" w:eastAsia="Times New Roman" w:hAnsi="Times New Roman"/>
          <w:sz w:val="16"/>
          <w:szCs w:val="16"/>
          <w:color w:val="auto"/>
        </w:rPr>
        <w:t xml:space="preserve"> (“ASC 350-40”), the Company will capitalize eligible software development costs incurred consisting of materials and services incurred in developing or obtaining internal-use computer software, and personnel costs (including related benefits and stock-based compensation) directly associated with, and who devote time to, the project. These costs generally consist of internal labor during configuration, coding, and testing activities that occur within the application development stage which begins when the preliminary project stage is completed and it is probable that the software will be completed and used for its intended function, to the extent it is probable that they will result in added functionality. Capitalization ceases when the software is substantially complete and ready for its intended use, including the completion of all significant testing. The Company capitalizes costs related to specific upgrades and enhancements when it is probable the expenditures will result in additional functionality, otherwise such costs are expensed as incurred. Costs incurred for data conversion activities, training, maintenance and general and administrative or overhead costs related to preliminary project activities and post-implementation operating activities are expensed as incurred.</w:t>
      </w:r>
    </w:p>
    <w:p>
      <w:pPr>
        <w:spacing w:after="0" w:line="195" w:lineRule="exact"/>
        <w:rPr>
          <w:sz w:val="20"/>
          <w:szCs w:val="20"/>
          <w:color w:val="auto"/>
        </w:rPr>
      </w:pPr>
    </w:p>
    <w:p>
      <w:pPr>
        <w:jc w:val="both"/>
        <w:ind w:left="20" w:hanging="7"/>
        <w:spacing w:after="0" w:line="271" w:lineRule="auto"/>
        <w:rPr>
          <w:sz w:val="20"/>
          <w:szCs w:val="20"/>
          <w:color w:val="auto"/>
        </w:rPr>
      </w:pPr>
      <w:r>
        <w:rPr>
          <w:rFonts w:ascii="Times New Roman" w:cs="Times New Roman" w:eastAsia="Times New Roman" w:hAnsi="Times New Roman"/>
          <w:sz w:val="16"/>
          <w:szCs w:val="16"/>
          <w:color w:val="auto"/>
        </w:rPr>
        <w:t>During the year ended December 31, 2023 (Successor) and the period from December 21, 2022 through December 31, 2022 (Successor), the Company believes the substantial majority of its development efforts were either in the preliminary stage of development or in the operation stage (post-implementation), and accordingly, no costs have been capitalized during these periods.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Revenue Recognition</w:t>
      </w:r>
    </w:p>
    <w:p>
      <w:pPr>
        <w:spacing w:after="0" w:line="233" w:lineRule="exact"/>
        <w:rPr>
          <w:sz w:val="20"/>
          <w:szCs w:val="20"/>
          <w:color w:val="auto"/>
        </w:rPr>
      </w:pPr>
    </w:p>
    <w:p>
      <w:pPr>
        <w:jc w:val="both"/>
        <w:ind w:left="20" w:hanging="7"/>
        <w:spacing w:after="0" w:line="266" w:lineRule="auto"/>
        <w:rPr>
          <w:sz w:val="20"/>
          <w:szCs w:val="20"/>
          <w:color w:val="auto"/>
        </w:rPr>
      </w:pPr>
      <w:r>
        <w:rPr>
          <w:rFonts w:ascii="Times New Roman" w:cs="Times New Roman" w:eastAsia="Times New Roman" w:hAnsi="Times New Roman"/>
          <w:sz w:val="16"/>
          <w:szCs w:val="16"/>
          <w:color w:val="auto"/>
        </w:rPr>
        <w:t>The Company derives revenues from the sale of access to its Amelia and AIOps platforms (“Amelia Software Platforms”) through licenses to its subscription-based software, access to its subscription services and professional service offerings. We recognize revenue in the amount that reflects the consideration we expect to receive in exchange for the sale of licenses, access to subscription services and professional service offerings when control of the promised products and services is transferred to our customers and the performance obligations under the contract have been satisfied.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 is recognized net of any taxes collected from customers, which are subsequently remitted to governmental entities (e.g., sales and other indirect taxes).</w:t>
      </w:r>
    </w:p>
    <w:p>
      <w:pPr>
        <w:spacing w:after="0" w:line="229" w:lineRule="exact"/>
        <w:rPr>
          <w:sz w:val="20"/>
          <w:szCs w:val="20"/>
          <w:color w:val="auto"/>
        </w:rPr>
      </w:pPr>
    </w:p>
    <w:p>
      <w:pPr>
        <w:jc w:val="both"/>
        <w:ind w:left="20" w:hanging="7"/>
        <w:spacing w:after="0" w:line="273" w:lineRule="auto"/>
        <w:rPr>
          <w:sz w:val="20"/>
          <w:szCs w:val="20"/>
          <w:color w:val="auto"/>
        </w:rPr>
      </w:pPr>
      <w:r>
        <w:rPr>
          <w:rFonts w:ascii="Times New Roman" w:cs="Times New Roman" w:eastAsia="Times New Roman" w:hAnsi="Times New Roman"/>
          <w:sz w:val="16"/>
          <w:szCs w:val="16"/>
          <w:color w:val="auto"/>
        </w:rPr>
        <w:t xml:space="preserve">The Company recognizes revenue under the five-step methodology required under ASC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(ASC 606), which requires the Company to identify the contract 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79" w:lineRule="exact"/>
        <w:rPr>
          <w:sz w:val="20"/>
          <w:szCs w:val="20"/>
          <w:color w:val="auto"/>
        </w:rPr>
      </w:pPr>
    </w:p>
    <w:p>
      <w:pPr>
        <w:jc w:val="both"/>
        <w:ind w:left="20" w:hanging="7"/>
        <w:spacing w:after="0" w:line="258" w:lineRule="auto"/>
        <w:rPr>
          <w:sz w:val="20"/>
          <w:szCs w:val="20"/>
          <w:color w:val="auto"/>
        </w:rPr>
      </w:pPr>
      <w:r>
        <w:rPr>
          <w:rFonts w:ascii="Times New Roman" w:cs="Times New Roman" w:eastAsia="Times New Roman" w:hAnsi="Times New Roman"/>
          <w:sz w:val="16"/>
          <w:szCs w:val="16"/>
          <w:color w:val="auto"/>
        </w:rPr>
        <w:t>The Company generally contracts with customers through order forms, which are governed by master sales agreements. The Company determines that it has a contract with a customer when the contract is approved, each party’s rights regarding the licenses, subscription or professional services to be transferred and the payment terms for these products and services can be identified, the Company has determined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reputation, and financial or other information pertaining to the customer. When a contract is entered into, the Company evaluates whether the contract is part of a larger arrangement and should be accounted for with other contracts and whether the combined or single contract includes more than one performance obligation. Contract modifications are routine in the performance of our contracts. Contracts are often modified to account for changes in the contract specifications, requirements, or duration. If a contract modification results in the addition of performance obligations priced at a standalone selling price or if the post-modification services are distinct from the services provided prior to the modification, the modification is accounted for separately. If the modified services are not distinct, they are accounted for as part of the existing contract.</w:t>
      </w:r>
    </w:p>
    <w:p>
      <w:pPr>
        <w:spacing w:after="0" w:line="192" w:lineRule="exact"/>
        <w:rPr>
          <w:sz w:val="20"/>
          <w:szCs w:val="20"/>
          <w:color w:val="auto"/>
        </w:rPr>
      </w:pPr>
    </w:p>
    <w:p>
      <w:pPr>
        <w:jc w:val="both"/>
        <w:ind w:left="20" w:hanging="7"/>
        <w:spacing w:after="0" w:line="271" w:lineRule="auto"/>
        <w:rPr>
          <w:sz w:val="20"/>
          <w:szCs w:val="20"/>
          <w:color w:val="auto"/>
        </w:rPr>
      </w:pPr>
      <w:r>
        <w:rPr>
          <w:rFonts w:ascii="Times New Roman" w:cs="Times New Roman" w:eastAsia="Times New Roman" w:hAnsi="Times New Roman"/>
          <w:sz w:val="16"/>
          <w:szCs w:val="16"/>
          <w:color w:val="auto"/>
        </w:rPr>
        <w:t>Performance obligations are identified based on the license, subscription and professional services that will be transferred to the customer that are both (1) capable of being distinct, whereby the customer can benefit from the license, subscription or professional services either on their own or together with other resources that are readily available from third parties or from the Company, and (2) are distinct in the context of the contract, whereby the transfer of the license, subscriptions or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260"/>
          </w:cols>
          <w:pgMar w:left="300" w:top="536"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6"/>
          <w:szCs w:val="16"/>
          <w:color w:val="auto"/>
        </w:rPr>
        <w:t>professional services are separately identifiable from other promises in the contract. To the extent a contract includes multiple promises, the Company applies judgment to determine whether promised subscriptions or services are capable of being distinct and distinct in the context of the contract. If these criteria are not met, or if performance obligations follow the same pattern of recognition, the promised subscriptions or services are accounted for as a combined performance obligation. The Company has concluded that its contracts with customers do not contain warranties that give rise to a separate performance obligation.</w:t>
      </w:r>
    </w:p>
    <w:p>
      <w:pPr>
        <w:spacing w:after="0" w:line="184" w:lineRule="exact"/>
        <w:rPr>
          <w:sz w:val="20"/>
          <w:szCs w:val="20"/>
          <w:color w:val="auto"/>
        </w:rPr>
      </w:pPr>
    </w:p>
    <w:p>
      <w:pPr>
        <w:jc w:val="both"/>
        <w:ind w:left="20" w:hanging="7"/>
        <w:spacing w:after="0" w:line="261" w:lineRule="auto"/>
        <w:rPr>
          <w:sz w:val="20"/>
          <w:szCs w:val="20"/>
          <w:color w:val="auto"/>
        </w:rPr>
      </w:pPr>
      <w:r>
        <w:rPr>
          <w:rFonts w:ascii="Times New Roman" w:cs="Times New Roman" w:eastAsia="Times New Roman" w:hAnsi="Times New Roman"/>
          <w:sz w:val="16"/>
          <w:szCs w:val="16"/>
          <w:color w:val="auto"/>
        </w:rPr>
        <w:t>Payment terms and conditions vary by contract type, although terms include a requirement of payment within 30 to 60 days. Our arrangements generally do not include a general right of return relative to the delivered products or services. In instances where the timing of revenue recognition differs from the timing of invoicing, our contracts typically do not include a significant financing component. We applied the practical expedient in ASC 606 and did not evaluate payment terms of one year or less for the existence of a significant financing component. To the extent a significant financing component is present, the Company adjusts the promised consideration for the effects of a significant financing component and to recognize revenue to approximate an amount that reflects the cash selling price that a customer would have paid for the promised goods or services.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Licenses</w:t>
      </w:r>
    </w:p>
    <w:p>
      <w:pPr>
        <w:spacing w:after="0" w:line="233" w:lineRule="exact"/>
        <w:rPr>
          <w:sz w:val="20"/>
          <w:szCs w:val="20"/>
          <w:color w:val="auto"/>
        </w:rPr>
      </w:pPr>
    </w:p>
    <w:p>
      <w:pPr>
        <w:jc w:val="both"/>
        <w:ind w:left="20" w:hanging="7"/>
        <w:spacing w:after="0" w:line="271" w:lineRule="auto"/>
        <w:rPr>
          <w:sz w:val="20"/>
          <w:szCs w:val="20"/>
          <w:color w:val="auto"/>
        </w:rPr>
      </w:pPr>
      <w:r>
        <w:rPr>
          <w:rFonts w:ascii="Times New Roman" w:cs="Times New Roman" w:eastAsia="Times New Roman" w:hAnsi="Times New Roman"/>
          <w:sz w:val="16"/>
          <w:szCs w:val="16"/>
          <w:color w:val="auto"/>
        </w:rPr>
        <w:t>Revenue related to licenses of our Amelia Software Platforms, which are primarily term licenses that provide customers the right to use our software products for a specified period of time, is recognized at the point in time when the license is made available to the customer, which is when transfer of control of the software license to the customer is complete. For license revenue, we invoice when the license(s) are provided or annually on a contract anniversary.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Subscriptions</w:t>
      </w:r>
    </w:p>
    <w:p>
      <w:pPr>
        <w:spacing w:after="0" w:line="233" w:lineRule="exact"/>
        <w:rPr>
          <w:sz w:val="20"/>
          <w:szCs w:val="20"/>
          <w:color w:val="auto"/>
        </w:rPr>
      </w:pPr>
    </w:p>
    <w:p>
      <w:pPr>
        <w:jc w:val="both"/>
        <w:ind w:left="20" w:hanging="7"/>
        <w:spacing w:after="0" w:line="263" w:lineRule="auto"/>
        <w:rPr>
          <w:sz w:val="20"/>
          <w:szCs w:val="20"/>
          <w:color w:val="auto"/>
        </w:rPr>
      </w:pPr>
      <w:r>
        <w:rPr>
          <w:rFonts w:ascii="Times New Roman" w:cs="Times New Roman" w:eastAsia="Times New Roman" w:hAnsi="Times New Roman"/>
          <w:sz w:val="16"/>
          <w:szCs w:val="16"/>
          <w:color w:val="auto"/>
        </w:rPr>
        <w:t>We generate subscription service revenue related to providing access to our Amelia Software Platforms (SaaS arrangements), for which customers do not have the contractual right to take possession of the underlying software without significant penalty, or for which it is not feasible for the customer to run the software on their own hardware or contract with a third-party to host the software. SaaS products are stand-ready obligations to provide access to our products, and the related revenue is recognized on a ratable basis over the contractual period of the arrangement, beginning on the date that product access is made available to the customer and as control of the service is transferred to the customer. We invoice for these contracts on a monthly, annual, or one-time basis in advance of the service being provided.</w:t>
      </w:r>
    </w:p>
    <w:p>
      <w:pPr>
        <w:spacing w:after="0" w:line="175" w:lineRule="exact"/>
        <w:rPr>
          <w:sz w:val="20"/>
          <w:szCs w:val="20"/>
          <w:color w:val="auto"/>
        </w:rPr>
      </w:pPr>
    </w:p>
    <w:p>
      <w:pPr>
        <w:jc w:val="both"/>
        <w:ind w:left="20" w:hanging="7"/>
        <w:spacing w:after="0" w:line="266" w:lineRule="auto"/>
        <w:rPr>
          <w:sz w:val="20"/>
          <w:szCs w:val="20"/>
          <w:color w:val="auto"/>
        </w:rPr>
      </w:pPr>
      <w:r>
        <w:rPr>
          <w:rFonts w:ascii="Times New Roman" w:cs="Times New Roman" w:eastAsia="Times New Roman" w:hAnsi="Times New Roman"/>
          <w:sz w:val="16"/>
          <w:szCs w:val="16"/>
          <w:color w:val="auto"/>
        </w:rPr>
        <w:t>Subscription service revenue also includes ongoing customer support and maintenance, which are provided for license and SaaS arrangements and consists of technical support and the provision of unspecified updates and upgrades on a when-and-if-available basis. Ongoing customer support and maintenance represent stand-ready obligations for which revenue is recognized ratably over the term of the ongoing customer support and maintenance period. For ongoing customer support and maintenance services, we generally invoice customers annually in advance.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Professional Services and Other</w:t>
      </w:r>
    </w:p>
    <w:p>
      <w:pPr>
        <w:spacing w:after="0" w:line="220" w:lineRule="exact"/>
        <w:rPr>
          <w:sz w:val="20"/>
          <w:szCs w:val="20"/>
          <w:color w:val="auto"/>
        </w:rPr>
      </w:pPr>
    </w:p>
    <w:p>
      <w:pPr>
        <w:jc w:val="both"/>
        <w:ind w:left="20" w:hanging="7"/>
        <w:spacing w:after="0" w:line="271" w:lineRule="auto"/>
        <w:rPr>
          <w:sz w:val="20"/>
          <w:szCs w:val="20"/>
          <w:color w:val="auto"/>
        </w:rPr>
      </w:pPr>
      <w:r>
        <w:rPr>
          <w:rFonts w:ascii="Times New Roman" w:cs="Times New Roman" w:eastAsia="Times New Roman" w:hAnsi="Times New Roman"/>
          <w:sz w:val="16"/>
          <w:szCs w:val="16"/>
          <w:color w:val="auto"/>
        </w:rPr>
        <w:t>Professional services and other revenue include revenue from our Managed Services which are delivered by software engineers utilizing our Amelia Software Platforms and are comprised of a series of distinct services that are substantially the same and that have the same pattern of transfer (i.e., distinct days of service). We invoice customers for Managed Services on a monthly or quarterly basis and recognize revenue ratably over the period services are provided.</w:t>
      </w:r>
    </w:p>
    <w:p>
      <w:pPr>
        <w:spacing w:after="0" w:line="181" w:lineRule="exact"/>
        <w:rPr>
          <w:sz w:val="20"/>
          <w:szCs w:val="20"/>
          <w:color w:val="auto"/>
        </w:rPr>
      </w:pPr>
    </w:p>
    <w:p>
      <w:pPr>
        <w:jc w:val="both"/>
        <w:ind w:left="20" w:hanging="7"/>
        <w:spacing w:after="0" w:line="271" w:lineRule="auto"/>
        <w:rPr>
          <w:sz w:val="20"/>
          <w:szCs w:val="20"/>
          <w:color w:val="auto"/>
        </w:rPr>
      </w:pPr>
      <w:r>
        <w:rPr>
          <w:rFonts w:ascii="Times New Roman" w:cs="Times New Roman" w:eastAsia="Times New Roman" w:hAnsi="Times New Roman"/>
          <w:sz w:val="16"/>
          <w:szCs w:val="16"/>
          <w:color w:val="auto"/>
        </w:rPr>
        <w:t>Additionally, professional services consist of consulting services and implementation services sold in conjunction with licenses and subscription services. Professional services may also include testing/go-live support, development/deployment of use cases and training. These professional services are provided on either a time-and-material basis or as a fixed-price contract and revenue is recognized over time as the services are delivered.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260"/>
          </w:cols>
          <w:pgMar w:left="300" w:top="536"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Contracts with Multiple Performance Obligations</w:t>
      </w:r>
    </w:p>
    <w:p>
      <w:pPr>
        <w:spacing w:after="0" w:line="220" w:lineRule="exact"/>
        <w:rPr>
          <w:sz w:val="20"/>
          <w:szCs w:val="20"/>
          <w:color w:val="auto"/>
        </w:rPr>
      </w:pPr>
    </w:p>
    <w:p>
      <w:pPr>
        <w:jc w:val="both"/>
        <w:ind w:left="20" w:right="20" w:hanging="7"/>
        <w:spacing w:after="0" w:line="271" w:lineRule="auto"/>
        <w:rPr>
          <w:sz w:val="20"/>
          <w:szCs w:val="20"/>
          <w:color w:val="auto"/>
        </w:rPr>
      </w:pPr>
      <w:r>
        <w:rPr>
          <w:rFonts w:ascii="Times New Roman" w:cs="Times New Roman" w:eastAsia="Times New Roman" w:hAnsi="Times New Roman"/>
          <w:sz w:val="16"/>
          <w:szCs w:val="16"/>
          <w:color w:val="auto"/>
        </w:rPr>
        <w:t>Our contracts with customers typically contain multiple performance obligations. To the extent a customer contract includes multiple promised goods or services, the Company applies judgment to determine whether promised goods or services are capable of being distinct and are distinct in the context of the contract in order to identify its performance obligations.</w:t>
      </w:r>
    </w:p>
    <w:p>
      <w:pPr>
        <w:spacing w:after="0" w:line="181" w:lineRule="exact"/>
        <w:rPr>
          <w:sz w:val="20"/>
          <w:szCs w:val="20"/>
          <w:color w:val="auto"/>
        </w:rPr>
      </w:pPr>
    </w:p>
    <w:p>
      <w:pPr>
        <w:jc w:val="both"/>
        <w:ind w:left="20" w:right="20" w:hanging="7"/>
        <w:spacing w:after="0" w:line="261" w:lineRule="auto"/>
        <w:rPr>
          <w:sz w:val="20"/>
          <w:szCs w:val="20"/>
          <w:color w:val="auto"/>
        </w:rPr>
      </w:pPr>
      <w:r>
        <w:rPr>
          <w:rFonts w:ascii="Times New Roman" w:cs="Times New Roman" w:eastAsia="Times New Roman" w:hAnsi="Times New Roman"/>
          <w:sz w:val="16"/>
          <w:szCs w:val="16"/>
          <w:color w:val="auto"/>
        </w:rPr>
        <w:t>We determine the transaction price for each contract based on the consideration we expect to receive for the products or services being provided under the contract. Contracts that contain multiple performance obligations require an allocation of the transaction price to each performance obligation based on a relative standalone selling price (SSP). When applicable, the Company determines SSP based on the price at which the performance obligation has previously been sold through past transactions, considering internally approved pricing guidelines related to the performance obligations. When such observable data is not available because there is a limited number of transactions or prices are highly variable, the Company will estimate the standalone selling price using the residual approach. Standalone selling prices of professional services are typically estimated using an estimate of hours to complete the project applied to standard rate card charged for professional services by level.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Variable Consideration</w:t>
      </w:r>
    </w:p>
    <w:p>
      <w:pPr>
        <w:spacing w:after="0" w:line="220" w:lineRule="exact"/>
        <w:rPr>
          <w:sz w:val="20"/>
          <w:szCs w:val="20"/>
          <w:color w:val="auto"/>
        </w:rPr>
      </w:pPr>
    </w:p>
    <w:p>
      <w:pPr>
        <w:jc w:val="both"/>
        <w:ind w:left="20" w:hanging="7"/>
        <w:spacing w:after="0" w:line="258" w:lineRule="auto"/>
        <w:rPr>
          <w:sz w:val="20"/>
          <w:szCs w:val="20"/>
          <w:color w:val="auto"/>
        </w:rPr>
      </w:pPr>
      <w:r>
        <w:rPr>
          <w:rFonts w:ascii="Times New Roman" w:cs="Times New Roman" w:eastAsia="Times New Roman" w:hAnsi="Times New Roman"/>
          <w:sz w:val="16"/>
          <w:szCs w:val="16"/>
          <w:color w:val="auto"/>
        </w:rPr>
        <w:t>If the transaction price includes variable consideration, the Company estimates variable consideration using the expected value method considering all reasonably available information, including the Company’s historical experience and its current expectations. The Company includes an estimate of the amount it expects to receive, if it is probable that a significant reversal of cumulative revenue recognized will not occur. The Company has identified contracts containing variable consideration in the form of session or usage-based fees. These fees relate to the number of sessions a customer can use Amelia for, or the number of devices that our Amelia Software Platforms can be used on. In these scenarios, the customer has no obligation to pay any consideration beyond the minimum purchase obligations, which will be included in the initial transaction price. The transaction price in a usage-based SaaS arrangement is typically equal to the minimum commitment in the contract, less any discounts provided. Certain contracts with customers contain terms, such as service level guarantees, that along with various potential claims, including breach of warranty, may result in variable consideration. Also, from time to time the Company grants refunds and credits at its discretion. Variable consideration is included in the transaction price if, in the Company’s judgment, it is probable that a significant future reversal of cumulative revenue under the contract will not occur.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applies the sales- or usage-based royalty exception for any usage beyond the minimum purchase obligations for software license arrangements.</w:t>
      </w:r>
    </w:p>
    <w:p>
      <w:pPr>
        <w:spacing w:after="0" w:line="218"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Some of our customer arrangements contain termination for convenience provisions for certain services that would provide the customer a pro rata refund for amounts paid in advance which are not for the pro rata portion.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Contract Assets and Liabilities</w:t>
      </w:r>
    </w:p>
    <w:p>
      <w:pPr>
        <w:spacing w:after="0" w:line="220" w:lineRule="exact"/>
        <w:rPr>
          <w:sz w:val="20"/>
          <w:szCs w:val="20"/>
          <w:color w:val="auto"/>
        </w:rPr>
      </w:pPr>
    </w:p>
    <w:p>
      <w:pPr>
        <w:jc w:val="both"/>
        <w:ind w:left="20" w:hanging="7"/>
        <w:spacing w:after="0" w:line="266" w:lineRule="auto"/>
        <w:rPr>
          <w:sz w:val="20"/>
          <w:szCs w:val="20"/>
          <w:color w:val="auto"/>
        </w:rPr>
      </w:pPr>
      <w:r>
        <w:rPr>
          <w:rFonts w:ascii="Times New Roman" w:cs="Times New Roman" w:eastAsia="Times New Roman" w:hAnsi="Times New Roman"/>
          <w:sz w:val="16"/>
          <w:szCs w:val="16"/>
          <w:color w:val="auto"/>
        </w:rPr>
        <w:t>The timing of revenue recognition may differ from the timing of invoicing to customers, and these timing differences result in receivables, contract assets (unbilled revenue), or contract liabilities (deferred revenue) on the Company’s consolidated balance sheets. The Company records receivables related to revenue when it has an unconditional right to invoice and receive payment from customers. The Company records unbilled revenue when revenue is recognized prior to invoicing and the Company does not have the unconditional right to invoice or performance risk remains with relation to satisfying the performance obligation.</w:t>
      </w:r>
    </w:p>
    <w:p>
      <w:pPr>
        <w:spacing w:after="0" w:line="184" w:lineRule="exact"/>
        <w:rPr>
          <w:sz w:val="20"/>
          <w:szCs w:val="20"/>
          <w:color w:val="auto"/>
        </w:rPr>
      </w:pPr>
    </w:p>
    <w:p>
      <w:pPr>
        <w:jc w:val="both"/>
        <w:ind w:left="20" w:right="20" w:hanging="7"/>
        <w:spacing w:after="0" w:line="271" w:lineRule="auto"/>
        <w:rPr>
          <w:sz w:val="20"/>
          <w:szCs w:val="20"/>
          <w:color w:val="auto"/>
        </w:rPr>
      </w:pPr>
      <w:r>
        <w:rPr>
          <w:rFonts w:ascii="Times New Roman" w:cs="Times New Roman" w:eastAsia="Times New Roman" w:hAnsi="Times New Roman"/>
          <w:sz w:val="16"/>
          <w:szCs w:val="16"/>
          <w:color w:val="auto"/>
        </w:rPr>
        <w:t>Deferred revenue primarily consists of customer billings or payments received in advance of revenues being recognized from customer contracts, including non-cancellable and non-refundable committed funds and refundable customer deposits. Deferred revenue that is anticipated to be recognized during the succeeding twelve-month period is recorded as current deferred revenue and the remaining portion is recorded as non-current.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1280"/>
          </w:cols>
          <w:pgMar w:left="300" w:top="536" w:right="3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Operating Expenses</w:t>
      </w:r>
    </w:p>
    <w:p>
      <w:pPr>
        <w:spacing w:after="0" w:line="220"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The Company’s operating expense categories include cost of revenues, research and development, sales and marketing, general and administrative and depreciation and amortization.</w:t>
      </w:r>
    </w:p>
    <w:p>
      <w:pPr>
        <w:spacing w:after="0" w:line="166" w:lineRule="exact"/>
        <w:rPr>
          <w:sz w:val="20"/>
          <w:szCs w:val="20"/>
          <w:color w:val="auto"/>
        </w:rPr>
      </w:pPr>
    </w:p>
    <w:p>
      <w:pPr>
        <w:jc w:val="both"/>
        <w:ind w:left="20" w:right="20"/>
        <w:spacing w:after="0" w:line="271" w:lineRule="auto"/>
        <w:rPr>
          <w:sz w:val="20"/>
          <w:szCs w:val="20"/>
          <w:color w:val="auto"/>
        </w:rPr>
      </w:pPr>
      <w:r>
        <w:rPr>
          <w:rFonts w:ascii="Times New Roman" w:cs="Times New Roman" w:eastAsia="Times New Roman" w:hAnsi="Times New Roman"/>
          <w:sz w:val="16"/>
          <w:szCs w:val="16"/>
          <w:color w:val="auto"/>
        </w:rPr>
        <w:t>The Company’s cost of revenues are comprised of costs associated directly with Amelia’s revenue streams as described above. This primarily includes cost related to hosting for cloud-based services such as network management, certain personnel-related expenses, including salaries, benefits and bonuses, that are directly related to these revenue streams and an allocation of facility costs.</w:t>
      </w:r>
    </w:p>
    <w:p>
      <w:pPr>
        <w:spacing w:after="0" w:line="169"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Research and development activities consist of personnel-related expenses directly associated with development activities such as continued improvement and conceptualizing use cases, costs associated with technological supplies and data center capacity used for research and development purposes.</w:t>
      </w:r>
    </w:p>
    <w:p>
      <w:pPr>
        <w:spacing w:after="0" w:line="166" w:lineRule="exact"/>
        <w:rPr>
          <w:sz w:val="20"/>
          <w:szCs w:val="20"/>
          <w:color w:val="auto"/>
        </w:rPr>
      </w:pPr>
    </w:p>
    <w:p>
      <w:pPr>
        <w:jc w:val="both"/>
        <w:ind w:left="20" w:right="20" w:hanging="7"/>
        <w:spacing w:after="0" w:line="282" w:lineRule="auto"/>
        <w:rPr>
          <w:sz w:val="20"/>
          <w:szCs w:val="20"/>
          <w:color w:val="auto"/>
        </w:rPr>
      </w:pPr>
      <w:r>
        <w:rPr>
          <w:rFonts w:ascii="Times New Roman" w:cs="Times New Roman" w:eastAsia="Times New Roman" w:hAnsi="Times New Roman"/>
          <w:sz w:val="16"/>
          <w:szCs w:val="16"/>
          <w:color w:val="auto"/>
        </w:rPr>
        <w:t>Sales and marketing activities are directed toward both the acquisition of new customers and increasing the Company’s business with existing customers. Sales and marketing activities are primarily comprised of personnel-related costs and facility costs associated with sales and marketing staff, as well as commissions paid to sales employees.</w:t>
      </w:r>
    </w:p>
    <w:p>
      <w:pPr>
        <w:spacing w:after="0" w:line="372"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General and administrative activities are comprised of professional fees, general corporate costs and overhead, including personnel-related expenses for executive, finance, legal and human resources activities.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Depreciation and amortization include depreciation of the Company’s infrastructure and equipment and amortization of intangible assets.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Income Taxes</w:t>
      </w:r>
    </w:p>
    <w:p>
      <w:pPr>
        <w:spacing w:after="0" w:line="233" w:lineRule="exact"/>
        <w:rPr>
          <w:sz w:val="20"/>
          <w:szCs w:val="20"/>
          <w:color w:val="auto"/>
        </w:rPr>
      </w:pPr>
    </w:p>
    <w:p>
      <w:pPr>
        <w:jc w:val="both"/>
        <w:ind w:left="20" w:right="20" w:hanging="7"/>
        <w:spacing w:after="0" w:line="266" w:lineRule="auto"/>
        <w:rPr>
          <w:sz w:val="20"/>
          <w:szCs w:val="20"/>
          <w:color w:val="auto"/>
        </w:rPr>
      </w:pPr>
      <w:r>
        <w:rPr>
          <w:rFonts w:ascii="Times New Roman" w:cs="Times New Roman" w:eastAsia="Times New Roman" w:hAnsi="Times New Roman"/>
          <w:sz w:val="16"/>
          <w:szCs w:val="16"/>
          <w:color w:val="auto"/>
        </w:rPr>
        <w:t>The Company accounts for income taxes using an asset and liability approach, which requires the recognition of deferred tax assets and liabilities for the expected future tax consequences of events that have been included in the consolidated financial statements. Under this method, deferred tax assets and liabilities are determined based on the differences between the financial statement and tax bases of assets and liabilities using the enacted tax rates in effect for the year in which the differences are expected to reverse.</w:t>
      </w:r>
    </w:p>
    <w:p>
      <w:pPr>
        <w:spacing w:after="0" w:line="172" w:lineRule="exact"/>
        <w:rPr>
          <w:sz w:val="20"/>
          <w:szCs w:val="20"/>
          <w:color w:val="auto"/>
        </w:rPr>
      </w:pPr>
    </w:p>
    <w:p>
      <w:pPr>
        <w:jc w:val="both"/>
        <w:ind w:left="20" w:right="20" w:hanging="7"/>
        <w:spacing w:after="0" w:line="266" w:lineRule="auto"/>
        <w:rPr>
          <w:sz w:val="20"/>
          <w:szCs w:val="20"/>
          <w:color w:val="auto"/>
        </w:rPr>
      </w:pPr>
      <w:r>
        <w:rPr>
          <w:rFonts w:ascii="Times New Roman" w:cs="Times New Roman" w:eastAsia="Times New Roman" w:hAnsi="Times New Roman"/>
          <w:sz w:val="16"/>
          <w:szCs w:val="16"/>
          <w:color w:val="auto"/>
        </w:rPr>
        <w:t>The Company records net deferred tax assets to the extent it believes these assets will more likely than not be realized. In making such determination, the Company considers all available positive and negative evidence, including future reversals of existing taxable temporary differences, projected future taxable income, tax planning strategies and recent financial operations. In the event the Company were to determine that it would be able to realize the deferred income tax assets in the future in excess of their net recorded amount, the Company would make an adjustment to the valuation allowance, which would reduce the provision for income taxes.</w:t>
      </w:r>
    </w:p>
    <w:p>
      <w:pPr>
        <w:spacing w:after="0" w:line="184" w:lineRule="exact"/>
        <w:rPr>
          <w:sz w:val="20"/>
          <w:szCs w:val="20"/>
          <w:color w:val="auto"/>
        </w:rPr>
      </w:pPr>
    </w:p>
    <w:p>
      <w:pPr>
        <w:jc w:val="both"/>
        <w:ind w:left="20" w:hanging="7"/>
        <w:spacing w:after="0" w:line="261" w:lineRule="auto"/>
        <w:rPr>
          <w:sz w:val="20"/>
          <w:szCs w:val="20"/>
          <w:color w:val="auto"/>
        </w:rPr>
      </w:pPr>
      <w:r>
        <w:rPr>
          <w:rFonts w:ascii="Times New Roman" w:cs="Times New Roman" w:eastAsia="Times New Roman" w:hAnsi="Times New Roman"/>
          <w:sz w:val="16"/>
          <w:szCs w:val="16"/>
          <w:color w:val="auto"/>
        </w:rPr>
        <w:t>The Company accounts for uncertain tax positions in accordance with the accounting standard for income taxes. On an annual basis, the Company identifies and analyzes each tax position to determine if, based on technical merits, they are more likely than not (MLTN) to be sustained if challenged by a taxing authority. Once the Company identifies tax positions that meet the MLTN threshold, the Company measures the cumulative probability of the potential exposure scenarios to determine the appropriate amount to record as an uncertain tax position liability, which would include the additional tax, interest, and penalties that would be due upon examination if the positions were not sustained. We recognize interest and penalties related to uncertain tax positions as a component of income tax expense in our consolidated and combined statements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Foreign Currency</w:t>
      </w:r>
    </w:p>
    <w:p>
      <w:pPr>
        <w:spacing w:after="0" w:line="220"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The functional currency of each of the Company’s international subsidiaries is its local currency. Accounts of foreign operations are translated into U.S. dollars using exchange rates for assets and liabilities at the balance sheet date and average prevailing exchange rates for the period for revenue and expense accounts.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1280"/>
          </w:cols>
          <w:pgMar w:left="300" w:top="536" w:right="3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Adjustments resulting from translation are included in accumulated other comprehensive income (loss).</w:t>
      </w:r>
    </w:p>
    <w:p>
      <w:pPr>
        <w:spacing w:after="0" w:line="231" w:lineRule="exact"/>
        <w:rPr>
          <w:sz w:val="20"/>
          <w:szCs w:val="20"/>
          <w:color w:val="auto"/>
        </w:rPr>
      </w:pPr>
    </w:p>
    <w:p>
      <w:pPr>
        <w:jc w:val="both"/>
        <w:ind w:left="20" w:right="20" w:hanging="7"/>
        <w:spacing w:after="0" w:line="271" w:lineRule="auto"/>
        <w:rPr>
          <w:sz w:val="20"/>
          <w:szCs w:val="20"/>
          <w:color w:val="auto"/>
        </w:rPr>
      </w:pPr>
      <w:r>
        <w:rPr>
          <w:rFonts w:ascii="Times New Roman" w:cs="Times New Roman" w:eastAsia="Times New Roman" w:hAnsi="Times New Roman"/>
          <w:sz w:val="16"/>
          <w:szCs w:val="16"/>
          <w:color w:val="auto"/>
        </w:rPr>
        <w:t>Realized and unrealized transaction gains and losses are included in our consolidated and combined statements of operations in the period in which they occur. The Company recognized net foreign currency losses of $1.5 million, $301 thousand, and $2.4 million for the year ended December 31, 2023 (Successor period), and for the Successor period from December 21, 2022, through December 31, 2022, and for the Predecessor period from January 1, 2022, through December 20, 2022,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Fair Value Measurements</w:t>
      </w:r>
    </w:p>
    <w:p>
      <w:pPr>
        <w:spacing w:after="0" w:line="233" w:lineRule="exact"/>
        <w:rPr>
          <w:sz w:val="20"/>
          <w:szCs w:val="20"/>
          <w:color w:val="auto"/>
        </w:rPr>
      </w:pPr>
    </w:p>
    <w:p>
      <w:pPr>
        <w:jc w:val="both"/>
        <w:ind w:left="20" w:right="20" w:hanging="7"/>
        <w:spacing w:after="0" w:line="266" w:lineRule="auto"/>
        <w:rPr>
          <w:sz w:val="20"/>
          <w:szCs w:val="20"/>
          <w:color w:val="auto"/>
        </w:rPr>
      </w:pPr>
      <w:r>
        <w:rPr>
          <w:rFonts w:ascii="Times New Roman" w:cs="Times New Roman" w:eastAsia="Times New Roman" w:hAnsi="Times New Roman"/>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inputs and minimizes the use of unobservable inputs.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three levels of inputs used to measure fair value are as follows:</w:t>
      </w:r>
    </w:p>
    <w:p>
      <w:pPr>
        <w:spacing w:after="0" w:line="248" w:lineRule="exact"/>
        <w:rPr>
          <w:sz w:val="20"/>
          <w:szCs w:val="20"/>
          <w:color w:val="auto"/>
        </w:rPr>
      </w:pPr>
    </w:p>
    <w:p>
      <w:pPr>
        <w:ind w:left="600" w:hanging="290"/>
        <w:spacing w:after="0"/>
        <w:tabs>
          <w:tab w:leader="none" w:pos="6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Level 1 – Quoted prices in active markets for identical instruments. The fair value hierarchy gives the highest priority to Level 1 inputs.</w:t>
      </w:r>
    </w:p>
    <w:p>
      <w:pPr>
        <w:spacing w:after="0" w:line="240" w:lineRule="exact"/>
        <w:rPr>
          <w:rFonts w:ascii="Times New Roman" w:cs="Times New Roman" w:eastAsia="Times New Roman" w:hAnsi="Times New Roman"/>
          <w:sz w:val="20"/>
          <w:szCs w:val="20"/>
          <w:color w:val="auto"/>
        </w:rPr>
      </w:pPr>
    </w:p>
    <w:p>
      <w:pPr>
        <w:ind w:left="600" w:right="20" w:hanging="290"/>
        <w:spacing w:after="0" w:line="235" w:lineRule="auto"/>
        <w:tabs>
          <w:tab w:leader="none" w:pos="595"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Level 2 – Quoted prices for similar instruments in active markets; quoted prices for identical or similar instruments in markets that are not active; and model-derived valuations where inputs are observable or where significant value drivers are observable.</w:t>
      </w:r>
    </w:p>
    <w:p>
      <w:pPr>
        <w:spacing w:after="0" w:line="221" w:lineRule="exact"/>
        <w:rPr>
          <w:rFonts w:ascii="Times New Roman" w:cs="Times New Roman" w:eastAsia="Times New Roman" w:hAnsi="Times New Roman"/>
          <w:sz w:val="20"/>
          <w:szCs w:val="20"/>
          <w:color w:val="auto"/>
        </w:rPr>
      </w:pPr>
    </w:p>
    <w:p>
      <w:pPr>
        <w:ind w:left="600" w:hanging="290"/>
        <w:spacing w:after="0"/>
        <w:tabs>
          <w:tab w:leader="none" w:pos="6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Level 3 – Instruments where significant value drivers are unobservable to third parties. The fair value hierarchy gives the lowest priority to Level 3 inputs.</w:t>
      </w:r>
    </w:p>
    <w:p>
      <w:pPr>
        <w:spacing w:after="0" w:line="204" w:lineRule="exact"/>
        <w:rPr>
          <w:sz w:val="20"/>
          <w:szCs w:val="20"/>
          <w:color w:val="auto"/>
        </w:rPr>
      </w:pPr>
    </w:p>
    <w:p>
      <w:pPr>
        <w:jc w:val="both"/>
        <w:ind w:left="20" w:right="20" w:hanging="7"/>
        <w:spacing w:after="0" w:line="271" w:lineRule="auto"/>
        <w:rPr>
          <w:sz w:val="20"/>
          <w:szCs w:val="20"/>
          <w:color w:val="auto"/>
        </w:rPr>
      </w:pPr>
      <w:r>
        <w:rPr>
          <w:rFonts w:ascii="Times New Roman" w:cs="Times New Roman" w:eastAsia="Times New Roman" w:hAnsi="Times New Roman"/>
          <w:sz w:val="16"/>
          <w:szCs w:val="16"/>
          <w:color w:val="auto"/>
        </w:rPr>
        <w:t>Financial assets and liabilities are classified in their entirety based on the lowest level of input that is significant to the fair value measurements. The Company’s assessment of the significance of a particular input to the fair value measurements requires judgment and may affect the valuation of these assets and liabilities being measured and their placement within the fair value hierarchy.</w:t>
      </w:r>
    </w:p>
    <w:p>
      <w:pPr>
        <w:spacing w:after="0" w:line="181" w:lineRule="exact"/>
        <w:rPr>
          <w:sz w:val="20"/>
          <w:szCs w:val="20"/>
          <w:color w:val="auto"/>
        </w:rPr>
      </w:pPr>
    </w:p>
    <w:p>
      <w:pPr>
        <w:jc w:val="both"/>
        <w:ind w:left="20" w:right="20" w:hanging="7"/>
        <w:spacing w:after="0" w:line="261" w:lineRule="auto"/>
        <w:rPr>
          <w:sz w:val="20"/>
          <w:szCs w:val="20"/>
          <w:color w:val="auto"/>
        </w:rPr>
      </w:pPr>
      <w:r>
        <w:rPr>
          <w:rFonts w:ascii="Times New Roman" w:cs="Times New Roman" w:eastAsia="Times New Roman" w:hAnsi="Times New Roman"/>
          <w:sz w:val="16"/>
          <w:szCs w:val="16"/>
          <w:color w:val="auto"/>
        </w:rPr>
        <w:t>The fair values of certain financial instruments, including cash equivalents, accounts receivable, prepaid expenses and other current assets, accounts payable and accrued expenses, and payroll liabilities approximate cost because of the short-term nature of these items. The fair value of debt on December 31, 2023 and 2022 (Successor), approximates carrying value due to the recent nature of the issuance such that the interest rate and underlying terms approximate fair value. The Company’s non-financial assets, which include property and equipment, are not required to be measured at fair value on a recurring basis. However, if certain triggering events occur, or if an annual impairment test is required and the Company is required to evaluate the non-financial asset for impairment. An impairment loss would be recognized to the extent the carrying value exceeds the fair value of the asset.</w:t>
      </w:r>
    </w:p>
    <w:p>
      <w:pPr>
        <w:spacing w:after="0" w:line="177" w:lineRule="exact"/>
        <w:rPr>
          <w:sz w:val="20"/>
          <w:szCs w:val="20"/>
          <w:color w:val="auto"/>
        </w:rPr>
      </w:pPr>
    </w:p>
    <w:p>
      <w:pPr>
        <w:jc w:val="both"/>
        <w:ind w:left="20" w:right="20" w:hanging="7"/>
        <w:spacing w:after="0" w:line="266" w:lineRule="auto"/>
        <w:rPr>
          <w:sz w:val="20"/>
          <w:szCs w:val="20"/>
          <w:color w:val="auto"/>
        </w:rPr>
      </w:pPr>
      <w:r>
        <w:rPr>
          <w:rFonts w:ascii="Times New Roman" w:cs="Times New Roman" w:eastAsia="Times New Roman" w:hAnsi="Times New Roman"/>
          <w:sz w:val="16"/>
          <w:szCs w:val="16"/>
          <w:color w:val="auto"/>
        </w:rPr>
        <w:t>The Company has warrants for preferred and common stock issued and outstanding which are classified within other non-current liabilities in the consolidated balance sheets at December 31, 2023 and 2022 (Successor). At each reporting period the fair value of warrants are measured using an option-pricing model (Level 3 measurement) with the impact to the fair value measurement recognized in the consolidated and combined statements of operations and comprehensive loss. Refer to Note 12 for additional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Concentration of Credit Risk and Significant Customers</w:t>
      </w:r>
    </w:p>
    <w:p>
      <w:pPr>
        <w:spacing w:after="0" w:line="233" w:lineRule="exact"/>
        <w:rPr>
          <w:sz w:val="20"/>
          <w:szCs w:val="20"/>
          <w:color w:val="auto"/>
        </w:rPr>
      </w:pPr>
    </w:p>
    <w:p>
      <w:pPr>
        <w:jc w:val="both"/>
        <w:ind w:left="20" w:hanging="7"/>
        <w:spacing w:after="0" w:line="264"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significant concentrations of credit risk consist primarily of cash and cash equivalents, and accounts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1280"/>
          </w:cols>
          <w:pgMar w:left="300" w:top="536" w:right="3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All the Company’s customers consist of corporate and governmental entities. A limited number of customers have accounted for a large part of the Company’s revenue and accounts receivable to date. The Company provides credit to its customers in the normal course of business and requires no collateral to secure accounts receivable.</w:t>
      </w:r>
    </w:p>
    <w:p>
      <w:pPr>
        <w:spacing w:after="0" w:line="166" w:lineRule="exact"/>
        <w:rPr>
          <w:sz w:val="20"/>
          <w:szCs w:val="20"/>
          <w:color w:val="auto"/>
        </w:rPr>
      </w:pPr>
    </w:p>
    <w:p>
      <w:pPr>
        <w:jc w:val="both"/>
        <w:ind w:left="20" w:right="20" w:hanging="7"/>
        <w:spacing w:after="0" w:line="271" w:lineRule="auto"/>
        <w:rPr>
          <w:sz w:val="20"/>
          <w:szCs w:val="20"/>
          <w:color w:val="auto"/>
        </w:rPr>
      </w:pPr>
      <w:r>
        <w:rPr>
          <w:rFonts w:ascii="Times New Roman" w:cs="Times New Roman" w:eastAsia="Times New Roman" w:hAnsi="Times New Roman"/>
          <w:sz w:val="16"/>
          <w:szCs w:val="16"/>
          <w:color w:val="auto"/>
        </w:rPr>
        <w:t>On December 31, 2023 and 2022 (Successor), one customer accounted for 11.6% of the Company’s accounts receivable. No single customer accounted for more than 10% of the Company’s revenue for the year ended December 31, 2023 (Successor period). No single customer accounted for more than 10% of the Company’s revenue for the Successor period from December 21, 2022 through December 31, 2022, and for the Predecessor period from January 1, 2022, through December 20,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Recently Adopted Accounting Pronouncements</w:t>
      </w:r>
    </w:p>
    <w:p>
      <w:pPr>
        <w:spacing w:after="0" w:line="231" w:lineRule="exact"/>
        <w:rPr>
          <w:sz w:val="20"/>
          <w:szCs w:val="20"/>
          <w:color w:val="auto"/>
        </w:rPr>
      </w:pPr>
    </w:p>
    <w:p>
      <w:pPr>
        <w:jc w:val="both"/>
        <w:ind w:left="20" w:hanging="7"/>
        <w:spacing w:after="0" w:line="260" w:lineRule="auto"/>
        <w:rPr>
          <w:sz w:val="20"/>
          <w:szCs w:val="20"/>
          <w:color w:val="auto"/>
        </w:rPr>
      </w:pPr>
      <w:r>
        <w:rPr>
          <w:rFonts w:ascii="Times New Roman" w:cs="Times New Roman" w:eastAsia="Times New Roman" w:hAnsi="Times New Roman"/>
          <w:sz w:val="16"/>
          <w:szCs w:val="16"/>
          <w:color w:val="auto"/>
        </w:rPr>
        <w:t xml:space="preserve">In October 2021, the FASB issued ASU 2021-08, </w:t>
      </w:r>
      <w:r>
        <w:rPr>
          <w:rFonts w:ascii="Times New Roman" w:cs="Times New Roman" w:eastAsia="Times New Roman" w:hAnsi="Times New Roman"/>
          <w:sz w:val="16"/>
          <w:szCs w:val="16"/>
          <w:i w:val="1"/>
          <w:iCs w:val="1"/>
          <w:color w:val="auto"/>
        </w:rPr>
        <w:t>Business Combinations (Topic 805)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Accounting for Contract Assets and Contract Liabilities from Contracts with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Customers</w:t>
      </w:r>
      <w:r>
        <w:rPr>
          <w:rFonts w:ascii="Times New Roman" w:cs="Times New Roman" w:eastAsia="Times New Roman" w:hAnsi="Times New Roman"/>
          <w:sz w:val="16"/>
          <w:szCs w:val="16"/>
          <w:color w:val="auto"/>
        </w:rPr>
        <w:t>, which changes how entities will recognize assets acquired and liabilities assumed in a business combination, including contract assets and contract liabilities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arising from revenue contracts with customers. The provisions of ASU 2021-08 require acquiring entities to recognize and measure contract assets and contract liabilities acquired in a business combination in accordance with ASU 2014-09</w:t>
      </w:r>
      <w:r>
        <w:rPr>
          <w:rFonts w:ascii="Times New Roman" w:cs="Times New Roman" w:eastAsia="Times New Roman" w:hAnsi="Times New Roman"/>
          <w:sz w:val="16"/>
          <w:szCs w:val="16"/>
          <w:i w:val="1"/>
          <w:iCs w:val="1"/>
          <w:color w:val="auto"/>
        </w:rPr>
        <w:t>, Revenue from Contracts with Customers (Topic 606)</w:t>
      </w:r>
      <w:r>
        <w:rPr>
          <w:rFonts w:ascii="Times New Roman" w:cs="Times New Roman" w:eastAsia="Times New Roman" w:hAnsi="Times New Roman"/>
          <w:sz w:val="16"/>
          <w:szCs w:val="16"/>
          <w:color w:val="auto"/>
        </w:rPr>
        <w:t>, as if it had originated the contracts. The provisions of ASU 2021-08 are effective for fiscal years beginning after December 15, 2022, with early adoption permitted. The Company early adopted the standard and retrospectively applied it to all business combinations that occurred during the fiscal year 2022, as required by the standard in the year of adoption. As a result, the Company recorded the unbilled and deferred revenue assumed related to the Amelia Business Combination at their carrying amounts.</w:t>
      </w:r>
    </w:p>
    <w:p>
      <w:pPr>
        <w:spacing w:after="0" w:line="178" w:lineRule="exact"/>
        <w:rPr>
          <w:sz w:val="20"/>
          <w:szCs w:val="20"/>
          <w:color w:val="auto"/>
        </w:rPr>
      </w:pPr>
    </w:p>
    <w:p>
      <w:pPr>
        <w:jc w:val="both"/>
        <w:ind w:left="20" w:right="20" w:hanging="7"/>
        <w:spacing w:after="0" w:line="263" w:lineRule="auto"/>
        <w:rPr>
          <w:sz w:val="20"/>
          <w:szCs w:val="20"/>
          <w:color w:val="auto"/>
        </w:rPr>
      </w:pPr>
      <w:r>
        <w:rPr>
          <w:rFonts w:ascii="Times New Roman" w:cs="Times New Roman" w:eastAsia="Times New Roman" w:hAnsi="Times New Roman"/>
          <w:sz w:val="16"/>
          <w:szCs w:val="16"/>
          <w:color w:val="auto"/>
        </w:rPr>
        <w:t xml:space="preserve">In June 2016, the FASB issued ASU No. 2016-13, </w:t>
      </w:r>
      <w:r>
        <w:rPr>
          <w:rFonts w:ascii="Times New Roman" w:cs="Times New Roman" w:eastAsia="Times New Roman" w:hAnsi="Times New Roman"/>
          <w:sz w:val="16"/>
          <w:szCs w:val="16"/>
          <w:i w:val="1"/>
          <w:iCs w:val="1"/>
          <w:color w:val="auto"/>
        </w:rPr>
        <w:t>Financial Instruments – Credit Losses (Topic 326): Measurement of Credit Losses on Financial Instruments</w:t>
      </w:r>
      <w:r>
        <w:rPr>
          <w:rFonts w:ascii="Times New Roman" w:cs="Times New Roman" w:eastAsia="Times New Roman" w:hAnsi="Times New Roman"/>
          <w:sz w:val="16"/>
          <w:szCs w:val="16"/>
          <w:color w:val="auto"/>
        </w:rPr>
        <w:t xml:space="preserve"> (“ASU 2016-13”), as subsequently amended. ASU 2016-13 changes the methodology for measuring credit losses of financial instruments and the timing of when such losses are recorded. ASU 2016-13 is effective for private companies in fiscal years, and interim periods within those years, beginning after December 15, 2022, with early adoption permitted. Effective January 1, 2023, the Company adopted the requirements of ASU 2016-13, using the modified retrospective transition approach. The adoption of this standard did not have a material impact on the Company’s consolidated and combined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AMELIA BUSINESS COMBINATION</w:t>
      </w:r>
    </w:p>
    <w:p>
      <w:pPr>
        <w:spacing w:after="0" w:line="231" w:lineRule="exact"/>
        <w:rPr>
          <w:sz w:val="20"/>
          <w:szCs w:val="20"/>
          <w:color w:val="auto"/>
        </w:rPr>
      </w:pPr>
    </w:p>
    <w:p>
      <w:pPr>
        <w:jc w:val="both"/>
        <w:ind w:left="20" w:hanging="7"/>
        <w:spacing w:after="0" w:line="260" w:lineRule="auto"/>
        <w:rPr>
          <w:sz w:val="20"/>
          <w:szCs w:val="20"/>
          <w:color w:val="auto"/>
        </w:rPr>
      </w:pPr>
      <w:r>
        <w:rPr>
          <w:rFonts w:ascii="Times New Roman" w:cs="Times New Roman" w:eastAsia="Times New Roman" w:hAnsi="Times New Roman"/>
          <w:sz w:val="16"/>
          <w:szCs w:val="16"/>
          <w:color w:val="auto"/>
        </w:rPr>
        <w:t xml:space="preserve">The Reorganization discussed in </w:t>
      </w:r>
      <w:r>
        <w:rPr>
          <w:rFonts w:ascii="Times New Roman" w:cs="Times New Roman" w:eastAsia="Times New Roman" w:hAnsi="Times New Roman"/>
          <w:sz w:val="16"/>
          <w:szCs w:val="16"/>
          <w:i w:val="1"/>
          <w:iCs w:val="1"/>
          <w:color w:val="auto"/>
        </w:rPr>
        <w:t>Note 1. Nature of Business and Organization</w:t>
      </w:r>
      <w:r>
        <w:rPr>
          <w:rFonts w:ascii="Times New Roman" w:cs="Times New Roman" w:eastAsia="Times New Roman" w:hAnsi="Times New Roman"/>
          <w:sz w:val="16"/>
          <w:szCs w:val="16"/>
          <w:color w:val="auto"/>
        </w:rPr>
        <w:t xml:space="preserve"> was accounted for by Amelia Holdings in accordance with the acquisition method of accounting pursuant to ASC 805 as Amelia Holdings obtained a controlling financial interest in Amelia and Amelia constitutes a business with inputs, processes, and outputs. Topic 805 requires the Company to recognize acquired assets, including identifiable intangible assets and all assumed liabilities, at fair value on the acquisition date. Determining the fair value of assets acquired and liabilities assumed requires management’s judgment and often involves the use of significant estimates and assumptions, including assumptions with respect to future cash flows, discount rates and asset lives. The fair value of assets deemed acquired and liabilities assumed was determined based on assumptions that reasonable market participants would use in the principal (or most advantageous) market for the asset or liability. The excess of the fair value of purchase consideration over the values of these identifiable assets and liabilities is recorded as goodwill.</w:t>
      </w:r>
    </w:p>
    <w:p>
      <w:pPr>
        <w:spacing w:after="0" w:line="180"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Acquisition costs, such as legal and consulting fees, are expensed as incurred and are recorded within general and administrative expenses. Acquisition costs of approximately $9.8 million incurred in connection with the Amelia Business Combination were expensed in the Successor period.</w:t>
      </w:r>
    </w:p>
    <w:p>
      <w:pPr>
        <w:spacing w:after="0" w:line="166"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The Company’s management, with the assistance of a third-party valuation firm, estimated the fair value of the Company’s assets and liabilities as of the acquisition date of December 21, 2022. The Company finalized the fair values of the assets acquired and liabilities assumed during 2023 with no material adjustments.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represents the purchase price allocation for the Amelia Business Combination: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1280"/>
          </w:cols>
          <w:pgMar w:left="300" w:top="536" w:right="3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15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56"/>
        </w:trPr>
        <w:tc>
          <w:tcPr>
            <w:tcW w:w="156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0" w:type="dxa"/>
            <w:vAlign w:val="bottom"/>
          </w:tcPr>
          <w:p>
            <w:pPr>
              <w:spacing w:after="0"/>
              <w:rPr>
                <w:sz w:val="1"/>
                <w:szCs w:val="1"/>
                <w:color w:val="auto"/>
              </w:rPr>
            </w:pPr>
          </w:p>
        </w:tc>
      </w:tr>
      <w:tr>
        <w:trPr>
          <w:trHeight w:val="37"/>
        </w:trPr>
        <w:tc>
          <w:tcPr>
            <w:tcW w:w="1560" w:type="dxa"/>
            <w:vAlign w:val="bottom"/>
          </w:tcPr>
          <w:p>
            <w:pPr>
              <w:spacing w:after="0"/>
              <w:rPr>
                <w:sz w:val="3"/>
                <w:szCs w:val="3"/>
                <w:color w:val="auto"/>
              </w:rPr>
            </w:pPr>
          </w:p>
        </w:tc>
        <w:tc>
          <w:tcPr>
            <w:tcW w:w="502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1560" w:type="dxa"/>
            <w:vAlign w:val="bottom"/>
          </w:tcPr>
          <w:p>
            <w:pPr>
              <w:spacing w:after="0"/>
              <w:rPr>
                <w:sz w:val="20"/>
                <w:szCs w:val="20"/>
                <w:color w:val="auto"/>
              </w:rPr>
            </w:pPr>
          </w:p>
        </w:tc>
        <w:tc>
          <w:tcPr>
            <w:tcW w:w="50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Fair value of Class B common stock issued</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29,347,639</w:t>
            </w:r>
          </w:p>
        </w:tc>
        <w:tc>
          <w:tcPr>
            <w:tcW w:w="0" w:type="dxa"/>
            <w:vAlign w:val="bottom"/>
          </w:tcPr>
          <w:p>
            <w:pPr>
              <w:spacing w:after="0"/>
              <w:rPr>
                <w:sz w:val="1"/>
                <w:szCs w:val="1"/>
                <w:color w:val="auto"/>
              </w:rPr>
            </w:pPr>
          </w:p>
        </w:tc>
      </w:tr>
      <w:tr>
        <w:trPr>
          <w:trHeight w:val="231"/>
        </w:trPr>
        <w:tc>
          <w:tcPr>
            <w:tcW w:w="1560" w:type="dxa"/>
            <w:vAlign w:val="bottom"/>
          </w:tcPr>
          <w:p>
            <w:pPr>
              <w:spacing w:after="0"/>
              <w:rPr>
                <w:sz w:val="20"/>
                <w:szCs w:val="20"/>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Cash consideration</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15,684,263</w:t>
            </w:r>
          </w:p>
        </w:tc>
        <w:tc>
          <w:tcPr>
            <w:tcW w:w="0" w:type="dxa"/>
            <w:vAlign w:val="bottom"/>
          </w:tcPr>
          <w:p>
            <w:pPr>
              <w:spacing w:after="0"/>
              <w:rPr>
                <w:sz w:val="1"/>
                <w:szCs w:val="1"/>
                <w:color w:val="auto"/>
              </w:rPr>
            </w:pPr>
          </w:p>
        </w:tc>
      </w:tr>
      <w:tr>
        <w:trPr>
          <w:trHeight w:val="37"/>
        </w:trPr>
        <w:tc>
          <w:tcPr>
            <w:tcW w:w="1560" w:type="dxa"/>
            <w:vAlign w:val="bottom"/>
          </w:tcPr>
          <w:p>
            <w:pPr>
              <w:spacing w:after="0"/>
              <w:rPr>
                <w:sz w:val="3"/>
                <w:szCs w:val="3"/>
                <w:color w:val="auto"/>
              </w:rPr>
            </w:pPr>
          </w:p>
        </w:tc>
        <w:tc>
          <w:tcPr>
            <w:tcW w:w="5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156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Contingent value right issued</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10,568,268</w:t>
            </w:r>
          </w:p>
        </w:tc>
        <w:tc>
          <w:tcPr>
            <w:tcW w:w="0" w:type="dxa"/>
            <w:vAlign w:val="bottom"/>
          </w:tcPr>
          <w:p>
            <w:pPr>
              <w:spacing w:after="0"/>
              <w:rPr>
                <w:sz w:val="1"/>
                <w:szCs w:val="1"/>
                <w:color w:val="auto"/>
              </w:rPr>
            </w:pPr>
          </w:p>
        </w:tc>
      </w:tr>
      <w:tr>
        <w:trPr>
          <w:trHeight w:val="231"/>
        </w:trPr>
        <w:tc>
          <w:tcPr>
            <w:tcW w:w="1560" w:type="dxa"/>
            <w:vAlign w:val="bottom"/>
          </w:tcPr>
          <w:p>
            <w:pPr>
              <w:spacing w:after="0"/>
              <w:rPr>
                <w:sz w:val="20"/>
                <w:szCs w:val="20"/>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Convertible promissory note settled</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35,419,136</w:t>
            </w:r>
          </w:p>
        </w:tc>
        <w:tc>
          <w:tcPr>
            <w:tcW w:w="0" w:type="dxa"/>
            <w:vAlign w:val="bottom"/>
          </w:tcPr>
          <w:p>
            <w:pPr>
              <w:spacing w:after="0"/>
              <w:rPr>
                <w:sz w:val="1"/>
                <w:szCs w:val="1"/>
                <w:color w:val="auto"/>
              </w:rPr>
            </w:pPr>
          </w:p>
        </w:tc>
      </w:tr>
      <w:tr>
        <w:trPr>
          <w:trHeight w:val="37"/>
        </w:trPr>
        <w:tc>
          <w:tcPr>
            <w:tcW w:w="1560" w:type="dxa"/>
            <w:vAlign w:val="bottom"/>
          </w:tcPr>
          <w:p>
            <w:pPr>
              <w:spacing w:after="0"/>
              <w:rPr>
                <w:sz w:val="3"/>
                <w:szCs w:val="3"/>
                <w:color w:val="auto"/>
              </w:rPr>
            </w:pPr>
          </w:p>
        </w:tc>
        <w:tc>
          <w:tcPr>
            <w:tcW w:w="502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1560" w:type="dxa"/>
            <w:vAlign w:val="bottom"/>
          </w:tcPr>
          <w:p>
            <w:pPr>
              <w:spacing w:after="0"/>
              <w:rPr>
                <w:sz w:val="22"/>
                <w:szCs w:val="22"/>
                <w:color w:val="auto"/>
              </w:rPr>
            </w:pPr>
          </w:p>
        </w:tc>
        <w:tc>
          <w:tcPr>
            <w:tcW w:w="50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purchase consideration</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91,019,306</w:t>
            </w:r>
          </w:p>
        </w:tc>
        <w:tc>
          <w:tcPr>
            <w:tcW w:w="0" w:type="dxa"/>
            <w:vAlign w:val="bottom"/>
          </w:tcPr>
          <w:p>
            <w:pPr>
              <w:spacing w:after="0"/>
              <w:rPr>
                <w:sz w:val="1"/>
                <w:szCs w:val="1"/>
                <w:color w:val="auto"/>
              </w:rPr>
            </w:pPr>
          </w:p>
        </w:tc>
      </w:tr>
      <w:tr>
        <w:trPr>
          <w:trHeight w:val="163"/>
        </w:trPr>
        <w:tc>
          <w:tcPr>
            <w:tcW w:w="15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156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911,358</w:t>
            </w:r>
          </w:p>
        </w:tc>
        <w:tc>
          <w:tcPr>
            <w:tcW w:w="0" w:type="dxa"/>
            <w:vAlign w:val="bottom"/>
          </w:tcPr>
          <w:p>
            <w:pPr>
              <w:spacing w:after="0"/>
              <w:rPr>
                <w:sz w:val="1"/>
                <w:szCs w:val="1"/>
                <w:color w:val="auto"/>
              </w:rPr>
            </w:pPr>
          </w:p>
        </w:tc>
      </w:tr>
      <w:tr>
        <w:trPr>
          <w:trHeight w:val="231"/>
        </w:trPr>
        <w:tc>
          <w:tcPr>
            <w:tcW w:w="1560" w:type="dxa"/>
            <w:vAlign w:val="bottom"/>
          </w:tcPr>
          <w:p>
            <w:pPr>
              <w:spacing w:after="0"/>
              <w:rPr>
                <w:sz w:val="20"/>
                <w:szCs w:val="20"/>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14,872,558</w:t>
            </w:r>
          </w:p>
        </w:tc>
        <w:tc>
          <w:tcPr>
            <w:tcW w:w="0" w:type="dxa"/>
            <w:vAlign w:val="bottom"/>
          </w:tcPr>
          <w:p>
            <w:pPr>
              <w:spacing w:after="0"/>
              <w:rPr>
                <w:sz w:val="1"/>
                <w:szCs w:val="1"/>
                <w:color w:val="auto"/>
              </w:rPr>
            </w:pPr>
          </w:p>
        </w:tc>
      </w:tr>
      <w:tr>
        <w:trPr>
          <w:trHeight w:val="37"/>
        </w:trPr>
        <w:tc>
          <w:tcPr>
            <w:tcW w:w="1560" w:type="dxa"/>
            <w:vAlign w:val="bottom"/>
          </w:tcPr>
          <w:p>
            <w:pPr>
              <w:spacing w:after="0"/>
              <w:rPr>
                <w:sz w:val="3"/>
                <w:szCs w:val="3"/>
                <w:color w:val="auto"/>
              </w:rPr>
            </w:pPr>
          </w:p>
        </w:tc>
        <w:tc>
          <w:tcPr>
            <w:tcW w:w="5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156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8,637,385</w:t>
            </w:r>
          </w:p>
        </w:tc>
        <w:tc>
          <w:tcPr>
            <w:tcW w:w="0" w:type="dxa"/>
            <w:vAlign w:val="bottom"/>
          </w:tcPr>
          <w:p>
            <w:pPr>
              <w:spacing w:after="0"/>
              <w:rPr>
                <w:sz w:val="1"/>
                <w:szCs w:val="1"/>
                <w:color w:val="auto"/>
              </w:rPr>
            </w:pPr>
          </w:p>
        </w:tc>
      </w:tr>
      <w:tr>
        <w:trPr>
          <w:trHeight w:val="231"/>
        </w:trPr>
        <w:tc>
          <w:tcPr>
            <w:tcW w:w="1560" w:type="dxa"/>
            <w:vAlign w:val="bottom"/>
          </w:tcPr>
          <w:p>
            <w:pPr>
              <w:spacing w:after="0"/>
              <w:rPr>
                <w:sz w:val="20"/>
                <w:szCs w:val="20"/>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Intangible assets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66,000,000</w:t>
            </w:r>
          </w:p>
        </w:tc>
        <w:tc>
          <w:tcPr>
            <w:tcW w:w="0" w:type="dxa"/>
            <w:vAlign w:val="bottom"/>
          </w:tcPr>
          <w:p>
            <w:pPr>
              <w:spacing w:after="0"/>
              <w:rPr>
                <w:sz w:val="1"/>
                <w:szCs w:val="1"/>
                <w:color w:val="auto"/>
              </w:rPr>
            </w:pPr>
          </w:p>
        </w:tc>
      </w:tr>
      <w:tr>
        <w:trPr>
          <w:trHeight w:val="37"/>
        </w:trPr>
        <w:tc>
          <w:tcPr>
            <w:tcW w:w="1560" w:type="dxa"/>
            <w:vAlign w:val="bottom"/>
          </w:tcPr>
          <w:p>
            <w:pPr>
              <w:spacing w:after="0"/>
              <w:rPr>
                <w:sz w:val="3"/>
                <w:szCs w:val="3"/>
                <w:color w:val="auto"/>
              </w:rPr>
            </w:pPr>
          </w:p>
        </w:tc>
        <w:tc>
          <w:tcPr>
            <w:tcW w:w="5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8"/>
        </w:trPr>
        <w:tc>
          <w:tcPr>
            <w:tcW w:w="1560" w:type="dxa"/>
            <w:vAlign w:val="bottom"/>
          </w:tcPr>
          <w:p>
            <w:pPr>
              <w:spacing w:after="0"/>
              <w:rPr>
                <w:sz w:val="23"/>
                <w:szCs w:val="23"/>
                <w:color w:val="auto"/>
              </w:rPr>
            </w:pPr>
          </w:p>
        </w:tc>
        <w:tc>
          <w:tcPr>
            <w:tcW w:w="50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non-current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1,703,155</w:t>
            </w:r>
          </w:p>
        </w:tc>
        <w:tc>
          <w:tcPr>
            <w:tcW w:w="0" w:type="dxa"/>
            <w:vAlign w:val="bottom"/>
          </w:tcPr>
          <w:p>
            <w:pPr>
              <w:spacing w:after="0"/>
              <w:rPr>
                <w:sz w:val="1"/>
                <w:szCs w:val="1"/>
                <w:color w:val="auto"/>
              </w:rPr>
            </w:pPr>
          </w:p>
        </w:tc>
      </w:tr>
      <w:tr>
        <w:trPr>
          <w:trHeight w:val="223"/>
        </w:trPr>
        <w:tc>
          <w:tcPr>
            <w:tcW w:w="1560" w:type="dxa"/>
            <w:vAlign w:val="bottom"/>
          </w:tcPr>
          <w:p>
            <w:pPr>
              <w:spacing w:after="0"/>
              <w:rPr>
                <w:sz w:val="19"/>
                <w:szCs w:val="19"/>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identifiable assets acquired</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92,124,456</w:t>
            </w:r>
          </w:p>
        </w:tc>
        <w:tc>
          <w:tcPr>
            <w:tcW w:w="0" w:type="dxa"/>
            <w:vAlign w:val="bottom"/>
          </w:tcPr>
          <w:p>
            <w:pPr>
              <w:spacing w:after="0"/>
              <w:rPr>
                <w:sz w:val="1"/>
                <w:szCs w:val="1"/>
                <w:color w:val="auto"/>
              </w:rPr>
            </w:pPr>
          </w:p>
        </w:tc>
      </w:tr>
      <w:tr>
        <w:trPr>
          <w:trHeight w:val="37"/>
        </w:trPr>
        <w:tc>
          <w:tcPr>
            <w:tcW w:w="1560" w:type="dxa"/>
            <w:vAlign w:val="bottom"/>
          </w:tcPr>
          <w:p>
            <w:pPr>
              <w:spacing w:after="0"/>
              <w:rPr>
                <w:sz w:val="3"/>
                <w:szCs w:val="3"/>
                <w:color w:val="auto"/>
              </w:rPr>
            </w:pPr>
          </w:p>
        </w:tc>
        <w:tc>
          <w:tcPr>
            <w:tcW w:w="502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560" w:type="dxa"/>
            <w:vAlign w:val="bottom"/>
          </w:tcPr>
          <w:p>
            <w:pPr>
              <w:spacing w:after="0"/>
              <w:rPr>
                <w:sz w:val="14"/>
                <w:szCs w:val="14"/>
                <w:color w:val="auto"/>
              </w:rPr>
            </w:pPr>
          </w:p>
        </w:tc>
        <w:tc>
          <w:tcPr>
            <w:tcW w:w="5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560" w:type="dxa"/>
            <w:vAlign w:val="bottom"/>
          </w:tcPr>
          <w:p>
            <w:pPr>
              <w:spacing w:after="0"/>
              <w:rPr>
                <w:sz w:val="20"/>
                <w:szCs w:val="20"/>
                <w:color w:val="auto"/>
              </w:rPr>
            </w:pPr>
          </w:p>
        </w:tc>
        <w:tc>
          <w:tcPr>
            <w:tcW w:w="50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26,266,977</w:t>
            </w:r>
          </w:p>
        </w:tc>
        <w:tc>
          <w:tcPr>
            <w:tcW w:w="0" w:type="dxa"/>
            <w:vAlign w:val="bottom"/>
          </w:tcPr>
          <w:p>
            <w:pPr>
              <w:spacing w:after="0"/>
              <w:rPr>
                <w:sz w:val="1"/>
                <w:szCs w:val="1"/>
                <w:color w:val="auto"/>
              </w:rPr>
            </w:pPr>
          </w:p>
        </w:tc>
      </w:tr>
      <w:tr>
        <w:trPr>
          <w:trHeight w:val="110"/>
        </w:trPr>
        <w:tc>
          <w:tcPr>
            <w:tcW w:w="1560" w:type="dxa"/>
            <w:vAlign w:val="bottom"/>
          </w:tcPr>
          <w:p>
            <w:pPr>
              <w:spacing w:after="0"/>
              <w:rPr>
                <w:sz w:val="9"/>
                <w:szCs w:val="9"/>
                <w:color w:val="auto"/>
              </w:rPr>
            </w:pPr>
          </w:p>
        </w:tc>
        <w:tc>
          <w:tcPr>
            <w:tcW w:w="50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1560" w:type="dxa"/>
            <w:vAlign w:val="bottom"/>
          </w:tcPr>
          <w:p>
            <w:pPr>
              <w:spacing w:after="0"/>
              <w:rPr>
                <w:sz w:val="3"/>
                <w:szCs w:val="3"/>
                <w:color w:val="auto"/>
              </w:rPr>
            </w:pPr>
          </w:p>
        </w:tc>
        <w:tc>
          <w:tcPr>
            <w:tcW w:w="5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156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29,503,041</w:t>
            </w:r>
          </w:p>
        </w:tc>
        <w:tc>
          <w:tcPr>
            <w:tcW w:w="0" w:type="dxa"/>
            <w:vAlign w:val="bottom"/>
          </w:tcPr>
          <w:p>
            <w:pPr>
              <w:spacing w:after="0"/>
              <w:rPr>
                <w:sz w:val="1"/>
                <w:szCs w:val="1"/>
                <w:color w:val="auto"/>
              </w:rPr>
            </w:pPr>
          </w:p>
        </w:tc>
      </w:tr>
      <w:tr>
        <w:trPr>
          <w:trHeight w:val="231"/>
        </w:trPr>
        <w:tc>
          <w:tcPr>
            <w:tcW w:w="1560" w:type="dxa"/>
            <w:vAlign w:val="bottom"/>
          </w:tcPr>
          <w:p>
            <w:pPr>
              <w:spacing w:after="0"/>
              <w:rPr>
                <w:sz w:val="20"/>
                <w:szCs w:val="20"/>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39,901,014</w:t>
            </w:r>
          </w:p>
        </w:tc>
        <w:tc>
          <w:tcPr>
            <w:tcW w:w="0" w:type="dxa"/>
            <w:vAlign w:val="bottom"/>
          </w:tcPr>
          <w:p>
            <w:pPr>
              <w:spacing w:after="0"/>
              <w:rPr>
                <w:sz w:val="1"/>
                <w:szCs w:val="1"/>
                <w:color w:val="auto"/>
              </w:rPr>
            </w:pPr>
          </w:p>
        </w:tc>
      </w:tr>
      <w:tr>
        <w:trPr>
          <w:trHeight w:val="37"/>
        </w:trPr>
        <w:tc>
          <w:tcPr>
            <w:tcW w:w="1560" w:type="dxa"/>
            <w:vAlign w:val="bottom"/>
          </w:tcPr>
          <w:p>
            <w:pPr>
              <w:spacing w:after="0"/>
              <w:rPr>
                <w:sz w:val="3"/>
                <w:szCs w:val="3"/>
                <w:color w:val="auto"/>
              </w:rPr>
            </w:pPr>
          </w:p>
        </w:tc>
        <w:tc>
          <w:tcPr>
            <w:tcW w:w="5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156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12,164,500</w:t>
            </w:r>
          </w:p>
        </w:tc>
        <w:tc>
          <w:tcPr>
            <w:tcW w:w="0" w:type="dxa"/>
            <w:vAlign w:val="bottom"/>
          </w:tcPr>
          <w:p>
            <w:pPr>
              <w:spacing w:after="0"/>
              <w:rPr>
                <w:sz w:val="1"/>
                <w:szCs w:val="1"/>
                <w:color w:val="auto"/>
              </w:rPr>
            </w:pPr>
          </w:p>
        </w:tc>
      </w:tr>
      <w:tr>
        <w:trPr>
          <w:trHeight w:val="231"/>
        </w:trPr>
        <w:tc>
          <w:tcPr>
            <w:tcW w:w="1560" w:type="dxa"/>
            <w:vAlign w:val="bottom"/>
          </w:tcPr>
          <w:p>
            <w:pPr>
              <w:spacing w:after="0"/>
              <w:rPr>
                <w:sz w:val="20"/>
                <w:szCs w:val="20"/>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576,953</w:t>
            </w:r>
          </w:p>
        </w:tc>
        <w:tc>
          <w:tcPr>
            <w:tcW w:w="0" w:type="dxa"/>
            <w:vAlign w:val="bottom"/>
          </w:tcPr>
          <w:p>
            <w:pPr>
              <w:spacing w:after="0"/>
              <w:rPr>
                <w:sz w:val="1"/>
                <w:szCs w:val="1"/>
                <w:color w:val="auto"/>
              </w:rPr>
            </w:pPr>
          </w:p>
        </w:tc>
      </w:tr>
      <w:tr>
        <w:trPr>
          <w:trHeight w:val="37"/>
        </w:trPr>
        <w:tc>
          <w:tcPr>
            <w:tcW w:w="1560" w:type="dxa"/>
            <w:vAlign w:val="bottom"/>
          </w:tcPr>
          <w:p>
            <w:pPr>
              <w:spacing w:after="0"/>
              <w:rPr>
                <w:sz w:val="3"/>
                <w:szCs w:val="3"/>
                <w:color w:val="auto"/>
              </w:rPr>
            </w:pPr>
          </w:p>
        </w:tc>
        <w:tc>
          <w:tcPr>
            <w:tcW w:w="5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8"/>
        </w:trPr>
        <w:tc>
          <w:tcPr>
            <w:tcW w:w="1560" w:type="dxa"/>
            <w:vAlign w:val="bottom"/>
          </w:tcPr>
          <w:p>
            <w:pPr>
              <w:spacing w:after="0"/>
              <w:rPr>
                <w:sz w:val="23"/>
                <w:szCs w:val="23"/>
                <w:color w:val="auto"/>
              </w:rPr>
            </w:pPr>
          </w:p>
        </w:tc>
        <w:tc>
          <w:tcPr>
            <w:tcW w:w="50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identifiable assets acquired</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(16,288,029)</w:t>
            </w:r>
          </w:p>
        </w:tc>
        <w:tc>
          <w:tcPr>
            <w:tcW w:w="0" w:type="dxa"/>
            <w:vAlign w:val="bottom"/>
          </w:tcPr>
          <w:p>
            <w:pPr>
              <w:spacing w:after="0"/>
              <w:rPr>
                <w:sz w:val="1"/>
                <w:szCs w:val="1"/>
                <w:color w:val="auto"/>
              </w:rPr>
            </w:pPr>
          </w:p>
        </w:tc>
      </w:tr>
      <w:tr>
        <w:trPr>
          <w:trHeight w:val="223"/>
        </w:trPr>
        <w:tc>
          <w:tcPr>
            <w:tcW w:w="1560" w:type="dxa"/>
            <w:vAlign w:val="bottom"/>
          </w:tcPr>
          <w:p>
            <w:pPr>
              <w:spacing w:after="0"/>
              <w:rPr>
                <w:sz w:val="19"/>
                <w:szCs w:val="19"/>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9"/>
                <w:szCs w:val="19"/>
                <w:color w:val="auto"/>
              </w:rPr>
            </w:pPr>
          </w:p>
        </w:tc>
        <w:tc>
          <w:tcPr>
            <w:tcW w:w="1300" w:type="dxa"/>
            <w:vAlign w:val="bottom"/>
            <w:gridSpan w:val="2"/>
          </w:tcPr>
          <w:p>
            <w:pPr>
              <w:spacing w:after="0"/>
              <w:rPr>
                <w:sz w:val="19"/>
                <w:szCs w:val="19"/>
                <w:color w:val="auto"/>
              </w:rPr>
            </w:pPr>
          </w:p>
        </w:tc>
        <w:tc>
          <w:tcPr>
            <w:tcW w:w="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107,307,335</w:t>
            </w:r>
          </w:p>
        </w:tc>
        <w:tc>
          <w:tcPr>
            <w:tcW w:w="0" w:type="dxa"/>
            <w:vAlign w:val="bottom"/>
          </w:tcPr>
          <w:p>
            <w:pPr>
              <w:spacing w:after="0"/>
              <w:rPr>
                <w:sz w:val="1"/>
                <w:szCs w:val="1"/>
                <w:color w:val="auto"/>
              </w:rPr>
            </w:pPr>
          </w:p>
        </w:tc>
      </w:tr>
      <w:tr>
        <w:trPr>
          <w:trHeight w:val="37"/>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Acquired intangible assets are comprised of the following:</w:t>
            </w: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65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560" w:type="dxa"/>
            <w:vAlign w:val="bottom"/>
          </w:tcPr>
          <w:p>
            <w:pPr>
              <w:spacing w:after="0"/>
              <w:rPr>
                <w:sz w:val="22"/>
                <w:szCs w:val="22"/>
                <w:color w:val="auto"/>
              </w:rPr>
            </w:pPr>
          </w:p>
        </w:tc>
        <w:tc>
          <w:tcPr>
            <w:tcW w:w="5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20" w:type="dxa"/>
            <w:vAlign w:val="bottom"/>
          </w:tcPr>
          <w:p>
            <w:pPr>
              <w:spacing w:after="0"/>
              <w:rPr>
                <w:sz w:val="22"/>
                <w:szCs w:val="22"/>
                <w:color w:val="auto"/>
              </w:rPr>
            </w:pPr>
          </w:p>
        </w:tc>
        <w:tc>
          <w:tcPr>
            <w:tcW w:w="1400" w:type="dxa"/>
            <w:vAlign w:val="bottom"/>
            <w:gridSpan w:val="4"/>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Useful Life in Years</w:t>
            </w:r>
          </w:p>
        </w:tc>
        <w:tc>
          <w:tcPr>
            <w:tcW w:w="0" w:type="dxa"/>
            <w:vAlign w:val="bottom"/>
          </w:tcPr>
          <w:p>
            <w:pPr>
              <w:spacing w:after="0"/>
              <w:rPr>
                <w:sz w:val="1"/>
                <w:szCs w:val="1"/>
                <w:color w:val="auto"/>
              </w:rPr>
            </w:pPr>
          </w:p>
        </w:tc>
      </w:tr>
      <w:tr>
        <w:trPr>
          <w:trHeight w:val="110"/>
        </w:trPr>
        <w:tc>
          <w:tcPr>
            <w:tcW w:w="1560" w:type="dxa"/>
            <w:vAlign w:val="bottom"/>
          </w:tcPr>
          <w:p>
            <w:pPr>
              <w:spacing w:after="0"/>
              <w:rPr>
                <w:sz w:val="9"/>
                <w:szCs w:val="9"/>
                <w:color w:val="auto"/>
              </w:rPr>
            </w:pPr>
          </w:p>
        </w:tc>
        <w:tc>
          <w:tcPr>
            <w:tcW w:w="50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56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gridSpan w:val="4"/>
            <w:vMerge w:val="continue"/>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1560" w:type="dxa"/>
            <w:vAlign w:val="bottom"/>
          </w:tcPr>
          <w:p>
            <w:pPr>
              <w:spacing w:after="0"/>
              <w:rPr>
                <w:sz w:val="3"/>
                <w:szCs w:val="3"/>
                <w:color w:val="auto"/>
              </w:rPr>
            </w:pPr>
          </w:p>
        </w:tc>
        <w:tc>
          <w:tcPr>
            <w:tcW w:w="50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1560" w:type="dxa"/>
            <w:vAlign w:val="bottom"/>
          </w:tcPr>
          <w:p>
            <w:pPr>
              <w:spacing w:after="0"/>
              <w:rPr>
                <w:sz w:val="20"/>
                <w:szCs w:val="20"/>
                <w:color w:val="auto"/>
              </w:rPr>
            </w:pPr>
          </w:p>
        </w:tc>
        <w:tc>
          <w:tcPr>
            <w:tcW w:w="50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Customer relationships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17,500,000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7 years</w:t>
            </w:r>
          </w:p>
        </w:tc>
        <w:tc>
          <w:tcPr>
            <w:tcW w:w="0" w:type="dxa"/>
            <w:vAlign w:val="bottom"/>
          </w:tcPr>
          <w:p>
            <w:pPr>
              <w:spacing w:after="0"/>
              <w:rPr>
                <w:sz w:val="1"/>
                <w:szCs w:val="1"/>
                <w:color w:val="auto"/>
              </w:rPr>
            </w:pPr>
          </w:p>
        </w:tc>
      </w:tr>
      <w:tr>
        <w:trPr>
          <w:trHeight w:val="231"/>
        </w:trPr>
        <w:tc>
          <w:tcPr>
            <w:tcW w:w="1560" w:type="dxa"/>
            <w:vAlign w:val="bottom"/>
          </w:tcPr>
          <w:p>
            <w:pPr>
              <w:spacing w:after="0"/>
              <w:rPr>
                <w:sz w:val="20"/>
                <w:szCs w:val="20"/>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Technology</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44,000,000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5 years</w:t>
            </w:r>
          </w:p>
        </w:tc>
        <w:tc>
          <w:tcPr>
            <w:tcW w:w="0" w:type="dxa"/>
            <w:vAlign w:val="bottom"/>
          </w:tcPr>
          <w:p>
            <w:pPr>
              <w:spacing w:after="0"/>
              <w:rPr>
                <w:sz w:val="1"/>
                <w:szCs w:val="1"/>
                <w:color w:val="auto"/>
              </w:rPr>
            </w:pPr>
          </w:p>
        </w:tc>
      </w:tr>
      <w:tr>
        <w:trPr>
          <w:trHeight w:val="37"/>
        </w:trPr>
        <w:tc>
          <w:tcPr>
            <w:tcW w:w="1560" w:type="dxa"/>
            <w:vAlign w:val="bottom"/>
          </w:tcPr>
          <w:p>
            <w:pPr>
              <w:spacing w:after="0"/>
              <w:rPr>
                <w:sz w:val="3"/>
                <w:szCs w:val="3"/>
                <w:color w:val="auto"/>
              </w:rPr>
            </w:pPr>
          </w:p>
        </w:tc>
        <w:tc>
          <w:tcPr>
            <w:tcW w:w="5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8"/>
        </w:trPr>
        <w:tc>
          <w:tcPr>
            <w:tcW w:w="1560" w:type="dxa"/>
            <w:vAlign w:val="bottom"/>
          </w:tcPr>
          <w:p>
            <w:pPr>
              <w:spacing w:after="0"/>
              <w:rPr>
                <w:sz w:val="23"/>
                <w:szCs w:val="23"/>
                <w:color w:val="auto"/>
              </w:rPr>
            </w:pPr>
          </w:p>
        </w:tc>
        <w:tc>
          <w:tcPr>
            <w:tcW w:w="50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Tradename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4,500,000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7 years</w:t>
            </w:r>
          </w:p>
        </w:tc>
        <w:tc>
          <w:tcPr>
            <w:tcW w:w="0" w:type="dxa"/>
            <w:vAlign w:val="bottom"/>
          </w:tcPr>
          <w:p>
            <w:pPr>
              <w:spacing w:after="0"/>
              <w:rPr>
                <w:sz w:val="1"/>
                <w:szCs w:val="1"/>
                <w:color w:val="auto"/>
              </w:rPr>
            </w:pPr>
          </w:p>
        </w:tc>
      </w:tr>
      <w:tr>
        <w:trPr>
          <w:trHeight w:val="223"/>
        </w:trPr>
        <w:tc>
          <w:tcPr>
            <w:tcW w:w="1560" w:type="dxa"/>
            <w:vAlign w:val="bottom"/>
          </w:tcPr>
          <w:p>
            <w:pPr>
              <w:spacing w:after="0"/>
              <w:rPr>
                <w:sz w:val="19"/>
                <w:szCs w:val="19"/>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intangible assets acquired</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66,000,000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560" w:type="dxa"/>
            <w:vAlign w:val="bottom"/>
          </w:tcPr>
          <w:p>
            <w:pPr>
              <w:spacing w:after="0"/>
              <w:rPr>
                <w:sz w:val="3"/>
                <w:szCs w:val="3"/>
                <w:color w:val="auto"/>
              </w:rPr>
            </w:pPr>
          </w:p>
        </w:tc>
        <w:tc>
          <w:tcPr>
            <w:tcW w:w="50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20" w:right="20" w:hanging="7"/>
        <w:spacing w:after="0" w:line="271" w:lineRule="auto"/>
        <w:rPr>
          <w:sz w:val="20"/>
          <w:szCs w:val="20"/>
          <w:color w:val="auto"/>
        </w:rPr>
      </w:pPr>
      <w:r>
        <w:rPr>
          <w:rFonts w:ascii="Times New Roman" w:cs="Times New Roman" w:eastAsia="Times New Roman" w:hAnsi="Times New Roman"/>
          <w:sz w:val="16"/>
          <w:szCs w:val="16"/>
          <w:color w:val="auto"/>
        </w:rPr>
        <w:t>The fair value of consideration transferred was determined using a combination of valuation methodologies including the subject company transaction method, discounted cash flow (DCF) method and guideline public company method. As a result of the acquisition the Company recorded $66.0 million of intangible assets, as well as goodwill of $107.3 million. The Goodwill recognized is due to the expected cost savings and growth opportunity associated with product development of our AI based products.</w:t>
      </w:r>
    </w:p>
    <w:p>
      <w:pPr>
        <w:spacing w:after="0" w:line="181" w:lineRule="exact"/>
        <w:rPr>
          <w:sz w:val="20"/>
          <w:szCs w:val="20"/>
          <w:color w:val="auto"/>
        </w:rPr>
      </w:pPr>
    </w:p>
    <w:p>
      <w:pPr>
        <w:jc w:val="both"/>
        <w:ind w:left="20" w:right="20" w:hanging="7"/>
        <w:spacing w:after="0" w:line="259" w:lineRule="auto"/>
        <w:rPr>
          <w:sz w:val="20"/>
          <w:szCs w:val="20"/>
          <w:color w:val="auto"/>
        </w:rPr>
      </w:pPr>
      <w:r>
        <w:rPr>
          <w:rFonts w:ascii="Times New Roman" w:cs="Times New Roman" w:eastAsia="Times New Roman" w:hAnsi="Times New Roman"/>
          <w:sz w:val="16"/>
          <w:szCs w:val="16"/>
          <w:color w:val="auto"/>
        </w:rPr>
        <w:t>The fair value estimates for assets acquired and liabilities assumed were based on income valuation methods using primarily unobservable inputs developed by management, which are categorized as Level 3 in the fair value hierarchy. The fair value of tradenames was determined using an income approach based on the relief from royalty method. The fair value of technology was determined using multi-period excess earnings method. The fair value of customer relationships was determined using a with or without method. For the fair value estimates, the Company used: (i) projected discounted cash flows, (ii) historical and projected financial information, (iii) royalty rates and</w:t>
      </w:r>
    </w:p>
    <w:p>
      <w:pPr>
        <w:spacing w:after="0" w:line="2" w:lineRule="exact"/>
        <w:rPr>
          <w:sz w:val="20"/>
          <w:szCs w:val="20"/>
          <w:color w:val="auto"/>
        </w:rPr>
      </w:pPr>
    </w:p>
    <w:p>
      <w:pPr>
        <w:jc w:val="both"/>
        <w:ind w:left="20" w:hanging="2"/>
        <w:spacing w:after="0" w:line="261" w:lineRule="auto"/>
        <w:tabs>
          <w:tab w:leader="none" w:pos="315"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attrition rates, as relevant, that market participants would consider when estimating fair values. The Company is amortizing the acquired identifiable definite-lived intangible assets over their estimated useful lives from the acquisition date, which is consistent with the estimated useful life considerations used in determining their fair values. For the Successor periods from December 21, 2022 through</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1280"/>
          </w:cols>
          <w:pgMar w:left="300" w:top="536" w:right="31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20"/>
        <w:spacing w:after="0" w:line="263" w:lineRule="auto"/>
        <w:rPr>
          <w:sz w:val="20"/>
          <w:szCs w:val="20"/>
          <w:color w:val="auto"/>
        </w:rPr>
      </w:pPr>
      <w:r>
        <w:rPr>
          <w:rFonts w:ascii="Times New Roman" w:cs="Times New Roman" w:eastAsia="Times New Roman" w:hAnsi="Times New Roman"/>
          <w:sz w:val="16"/>
          <w:szCs w:val="16"/>
          <w:color w:val="auto"/>
        </w:rPr>
        <w:t>December 31, 2022 and for year ended December 31, 2023, the Company recorded approximately $321 thousand and $12 million of amortization expense on the acquired intangible assets, respectively. The estimated aggregate amortization expense for each of the five succeeding fiscal years is approximately $11.9 million in each year. The weighted-average amortization period is approximately 5.7 years. Accumulated amortization of intangible assets totaled $12.5 million and $0.3 million as of December 31, 2023 and 2022 (Successor), respectively, and were recorded within intangibles, net on the consolidated balance sheets. The Amelia Business Combination did not result in a material step-up in the tax basis of any of the acquired assets (including Goodwill) for U.S. federal income tax purposes.</w:t>
      </w:r>
    </w:p>
    <w:p>
      <w:pPr>
        <w:spacing w:after="0" w:line="187" w:lineRule="exact"/>
        <w:rPr>
          <w:sz w:val="20"/>
          <w:szCs w:val="20"/>
          <w:color w:val="auto"/>
        </w:rPr>
      </w:pPr>
    </w:p>
    <w:p>
      <w:pPr>
        <w:jc w:val="both"/>
        <w:ind w:left="20" w:hanging="7"/>
        <w:spacing w:after="0" w:line="266" w:lineRule="auto"/>
        <w:rPr>
          <w:sz w:val="20"/>
          <w:szCs w:val="20"/>
          <w:color w:val="auto"/>
        </w:rPr>
      </w:pPr>
      <w:r>
        <w:rPr>
          <w:rFonts w:ascii="Times New Roman" w:cs="Times New Roman" w:eastAsia="Times New Roman" w:hAnsi="Times New Roman"/>
          <w:sz w:val="16"/>
          <w:szCs w:val="16"/>
          <w:color w:val="auto"/>
        </w:rPr>
        <w:t>As part of the purchase consideration transferred, the Company entered into a Contingent Value Right (“CVR”) Agreement (“CVR Agreement”) with the Predecessor Parent with a stated value of $40.0 million. The stated value of the CVR is reduced by lease payments that the Company will make on behalf of the Predecessor Parent until the earlier of the date a Qualified Financing, as defined in the CVR Agreement, occurs, or June 30, 2023. The remaining stated value of the CVR after any lease payments will be satisfied as follows:</w:t>
      </w:r>
    </w:p>
    <w:p>
      <w:pPr>
        <w:spacing w:after="0" w:line="172" w:lineRule="exact"/>
        <w:rPr>
          <w:sz w:val="20"/>
          <w:szCs w:val="20"/>
          <w:color w:val="auto"/>
        </w:rPr>
      </w:pPr>
    </w:p>
    <w:p>
      <w:pPr>
        <w:ind w:left="600" w:hanging="290"/>
        <w:spacing w:after="0"/>
        <w:tabs>
          <w:tab w:leader="none" w:pos="6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payment to the Predecessor Parent upon receipt of proceeds from any Qualified Financing.</w:t>
      </w:r>
    </w:p>
    <w:p>
      <w:pPr>
        <w:spacing w:after="0" w:line="230" w:lineRule="exact"/>
        <w:rPr>
          <w:rFonts w:ascii="Times New Roman" w:cs="Times New Roman" w:eastAsia="Times New Roman" w:hAnsi="Times New Roman"/>
          <w:sz w:val="16"/>
          <w:szCs w:val="16"/>
          <w:color w:val="auto"/>
        </w:rPr>
      </w:pPr>
    </w:p>
    <w:p>
      <w:pPr>
        <w:ind w:left="600" w:hanging="290"/>
        <w:spacing w:after="0" w:line="264" w:lineRule="auto"/>
        <w:tabs>
          <w:tab w:leader="none" w:pos="58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Qualified Financing does not occur, the Company will issue Series A-4 Preferred Stock on June 30, 2023, based on the remaining stated value divided by $9.69.</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determined that the fair value of the CVR issued as part of the overall purchase consideration was $10.6 million as of December 21, 2022.</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June 30, 2023, the Company separately modified the CVR Agreement with its Predecessor Parent. The significant modifications were as follows:</w:t>
      </w:r>
    </w:p>
    <w:p>
      <w:pPr>
        <w:spacing w:after="0" w:line="231" w:lineRule="exact"/>
        <w:rPr>
          <w:sz w:val="20"/>
          <w:szCs w:val="20"/>
          <w:color w:val="auto"/>
        </w:rPr>
      </w:pPr>
    </w:p>
    <w:p>
      <w:pPr>
        <w:ind w:left="600" w:hanging="290"/>
        <w:spacing w:after="0"/>
        <w:tabs>
          <w:tab w:leader="none" w:pos="6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CVR stated valued was increased by $3.6 million.</w:t>
      </w:r>
    </w:p>
    <w:p>
      <w:pPr>
        <w:spacing w:after="0" w:line="145" w:lineRule="exact"/>
        <w:rPr>
          <w:rFonts w:ascii="Times New Roman" w:cs="Times New Roman" w:eastAsia="Times New Roman" w:hAnsi="Times New Roman"/>
          <w:sz w:val="16"/>
          <w:szCs w:val="16"/>
          <w:color w:val="auto"/>
        </w:rPr>
      </w:pPr>
    </w:p>
    <w:p>
      <w:pPr>
        <w:ind w:left="600" w:hanging="290"/>
        <w:spacing w:after="0" w:line="289" w:lineRule="auto"/>
        <w:tabs>
          <w:tab w:leader="none" w:pos="58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extended the period of time in which it funded the lease payments on behalf of the Predecessor Parent through December 31, 2023. These lease payments reduced the amended CVR balance through December 31, 2023.</w:t>
      </w:r>
    </w:p>
    <w:p>
      <w:pPr>
        <w:spacing w:after="0" w:line="81" w:lineRule="exact"/>
        <w:rPr>
          <w:rFonts w:ascii="Times New Roman" w:cs="Times New Roman" w:eastAsia="Times New Roman" w:hAnsi="Times New Roman"/>
          <w:sz w:val="16"/>
          <w:szCs w:val="16"/>
          <w:color w:val="auto"/>
        </w:rPr>
      </w:pPr>
    </w:p>
    <w:p>
      <w:pPr>
        <w:jc w:val="both"/>
        <w:ind w:left="600" w:hanging="290"/>
        <w:spacing w:after="0" w:line="271" w:lineRule="auto"/>
        <w:tabs>
          <w:tab w:leader="none" w:pos="58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original conversion date of the CVR to Series A-4 of June 30, 2023, was modified to set a termination date at the earlier of the CVR amount reducing to zero or the date on which the Company issues either a promissory note or Series A-4 Preferred Stock to settle the CVR. The issuance of Series A-4 Preferred Stock was to occur thirty days after a Transaction Failure as defined in the agreements.</w:t>
      </w:r>
    </w:p>
    <w:p>
      <w:pPr>
        <w:spacing w:after="0" w:line="96" w:lineRule="exact"/>
        <w:rPr>
          <w:rFonts w:ascii="Times New Roman" w:cs="Times New Roman" w:eastAsia="Times New Roman" w:hAnsi="Times New Roman"/>
          <w:sz w:val="16"/>
          <w:szCs w:val="16"/>
          <w:color w:val="auto"/>
        </w:rPr>
      </w:pPr>
    </w:p>
    <w:p>
      <w:pPr>
        <w:ind w:left="600" w:hanging="290"/>
        <w:spacing w:after="0"/>
        <w:tabs>
          <w:tab w:leader="none" w:pos="6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agreement regarding subleasing of floors was reduced from three floors to two floors as of January 1, 2024, however no sublease has been executed.</w:t>
      </w:r>
    </w:p>
    <w:p>
      <w:pPr>
        <w:spacing w:after="0" w:line="145" w:lineRule="exact"/>
        <w:rPr>
          <w:rFonts w:ascii="Times New Roman" w:cs="Times New Roman" w:eastAsia="Times New Roman" w:hAnsi="Times New Roman"/>
          <w:sz w:val="16"/>
          <w:szCs w:val="16"/>
          <w:color w:val="auto"/>
        </w:rPr>
      </w:pPr>
    </w:p>
    <w:p>
      <w:pPr>
        <w:ind w:left="600" w:hanging="290"/>
        <w:spacing w:after="0"/>
        <w:tabs>
          <w:tab w:leader="none" w:pos="6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agreement regarding subleasing of floors was reduced to zero should a successful financing be completed that fully redeems the Series A Preferred Stock.</w:t>
      </w:r>
    </w:p>
    <w:p>
      <w:pPr>
        <w:spacing w:after="0" w:line="230" w:lineRule="exact"/>
        <w:rPr>
          <w:rFonts w:ascii="Times New Roman" w:cs="Times New Roman" w:eastAsia="Times New Roman" w:hAnsi="Times New Roman"/>
          <w:sz w:val="16"/>
          <w:szCs w:val="16"/>
          <w:color w:val="auto"/>
        </w:rPr>
      </w:pPr>
    </w:p>
    <w:p>
      <w:pPr>
        <w:ind w:left="600" w:hanging="290"/>
        <w:spacing w:after="0"/>
        <w:tabs>
          <w:tab w:leader="none" w:pos="6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to utilized funds from sale of Series A-3 Preferred Stock, if any, for the redemption of CVR balances was terminated.</w:t>
      </w:r>
    </w:p>
    <w:p>
      <w:pPr>
        <w:spacing w:after="0" w:line="218" w:lineRule="exact"/>
        <w:rPr>
          <w:sz w:val="20"/>
          <w:szCs w:val="20"/>
          <w:color w:val="auto"/>
        </w:rPr>
      </w:pPr>
    </w:p>
    <w:p>
      <w:pPr>
        <w:jc w:val="both"/>
        <w:ind w:left="20" w:hanging="7"/>
        <w:spacing w:after="0" w:line="289" w:lineRule="auto"/>
        <w:rPr>
          <w:sz w:val="20"/>
          <w:szCs w:val="20"/>
          <w:color w:val="auto"/>
        </w:rPr>
      </w:pPr>
      <w:r>
        <w:rPr>
          <w:rFonts w:ascii="Times New Roman" w:cs="Times New Roman" w:eastAsia="Times New Roman" w:hAnsi="Times New Roman"/>
          <w:sz w:val="16"/>
          <w:szCs w:val="16"/>
          <w:color w:val="auto"/>
        </w:rPr>
        <w:t>As of December 31, 2023, the stated balance of the CVR is approximately $36.5 million as the Company continued to make lease payments on behalf of the Predecessor Parent through December 31, 2023. The fair value has been recorded as $9.7 million.</w:t>
      </w:r>
    </w:p>
    <w:p>
      <w:pPr>
        <w:spacing w:after="0" w:line="166" w:lineRule="exact"/>
        <w:rPr>
          <w:sz w:val="20"/>
          <w:szCs w:val="20"/>
          <w:color w:val="auto"/>
        </w:rPr>
      </w:pPr>
    </w:p>
    <w:p>
      <w:pPr>
        <w:jc w:val="both"/>
        <w:ind w:left="20" w:hanging="7"/>
        <w:spacing w:after="0" w:line="271" w:lineRule="auto"/>
        <w:rPr>
          <w:sz w:val="20"/>
          <w:szCs w:val="20"/>
          <w:color w:val="auto"/>
        </w:rPr>
      </w:pPr>
      <w:r>
        <w:rPr>
          <w:rFonts w:ascii="Times New Roman" w:cs="Times New Roman" w:eastAsia="Times New Roman" w:hAnsi="Times New Roman"/>
          <w:sz w:val="16"/>
          <w:szCs w:val="16"/>
          <w:color w:val="auto"/>
        </w:rPr>
        <w:t>The Company elected to account for the CVR under the fair value option as it believes this election best reflects changes in fair value of consideration that is expected to be transferred. The fair value estimate is considered a Level 3 measurement. Changes in fair value are recognized through earnings within other income (expense), net on the consolidated and combined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1260"/>
          </w:cols>
          <w:pgMar w:left="300" w:top="536"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roll forward of the fair value of the CVR for the periods from January 1, 2022 through December 20, 2022 (Predecessor), December 21, 2022 through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December 31,2022 (Successor) and for the year ended December 31, 2023:</w:t>
      </w:r>
    </w:p>
    <w:p>
      <w:pPr>
        <w:spacing w:after="0" w:line="200" w:lineRule="exact"/>
        <w:rPr>
          <w:sz w:val="20"/>
          <w:szCs w:val="20"/>
          <w:color w:val="auto"/>
        </w:rPr>
      </w:pPr>
    </w:p>
    <w:p>
      <w:pPr>
        <w:spacing w:after="0" w:line="275" w:lineRule="exact"/>
        <w:rPr>
          <w:sz w:val="20"/>
          <w:szCs w:val="20"/>
          <w:color w:val="auto"/>
        </w:rPr>
      </w:pPr>
    </w:p>
    <w:tbl>
      <w:tblPr>
        <w:tblLayout w:type="fixed"/>
        <w:tblInd w:w="1620" w:type="dxa"/>
        <w:tblCellMar>
          <w:top w:w="0" w:type="dxa"/>
          <w:left w:w="0" w:type="dxa"/>
          <w:bottom w:w="0" w:type="dxa"/>
          <w:right w:w="0" w:type="dxa"/>
        </w:tblCellMar>
      </w:tblPr>
      <w:tr>
        <w:trPr>
          <w:trHeight w:val="248"/>
        </w:trPr>
        <w:tc>
          <w:tcPr>
            <w:tcW w:w="65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Balance on January 1, 2022 (Predecessor)</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65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Issuance of CVR at fair value on December 21, 2022 (Successor)</w:t>
            </w: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10,568,268</w:t>
            </w:r>
          </w:p>
        </w:tc>
      </w:tr>
      <w:tr>
        <w:trPr>
          <w:trHeight w:val="37"/>
        </w:trPr>
        <w:tc>
          <w:tcPr>
            <w:tcW w:w="6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8"/>
        </w:trPr>
        <w:tc>
          <w:tcPr>
            <w:tcW w:w="65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Change in fair value</w:t>
            </w: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5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Balance on December 31, 2022 (Successor)</w:t>
            </w:r>
          </w:p>
        </w:tc>
        <w:tc>
          <w:tcPr>
            <w:tcW w:w="4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10,568,268</w:t>
            </w:r>
          </w:p>
        </w:tc>
      </w:tr>
      <w:tr>
        <w:trPr>
          <w:trHeight w:val="37"/>
        </w:trPr>
        <w:tc>
          <w:tcPr>
            <w:tcW w:w="65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0"/>
        </w:trPr>
        <w:tc>
          <w:tcPr>
            <w:tcW w:w="65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Paydowns of CVR</w:t>
            </w:r>
          </w:p>
        </w:tc>
        <w:tc>
          <w:tcPr>
            <w:tcW w:w="4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(6,998,129)</w:t>
            </w:r>
          </w:p>
        </w:tc>
      </w:tr>
      <w:tr>
        <w:trPr>
          <w:trHeight w:val="231"/>
        </w:trPr>
        <w:tc>
          <w:tcPr>
            <w:tcW w:w="65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Change in fair value</w:t>
            </w:r>
          </w:p>
        </w:tc>
        <w:tc>
          <w:tcPr>
            <w:tcW w:w="4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6,097,187</w:t>
            </w:r>
          </w:p>
        </w:tc>
      </w:tr>
      <w:tr>
        <w:trPr>
          <w:trHeight w:val="37"/>
        </w:trPr>
        <w:tc>
          <w:tcPr>
            <w:tcW w:w="65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79"/>
        </w:trPr>
        <w:tc>
          <w:tcPr>
            <w:tcW w:w="65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Balance on December 31, 2023</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9,667,326</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 4. REVENUE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Disaggregation of Revenue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our revenues disaggregated in accordance with the timing of when performance obligations are satisfied:</w:t>
      </w:r>
    </w:p>
    <w:p>
      <w:pPr>
        <w:spacing w:after="0" w:line="289" w:lineRule="exact"/>
        <w:rPr>
          <w:sz w:val="20"/>
          <w:szCs w:val="20"/>
          <w:color w:val="auto"/>
        </w:rPr>
      </w:pPr>
    </w:p>
    <w:tbl>
      <w:tblPr>
        <w:tblLayout w:type="fixed"/>
        <w:tblInd w:w="1620" w:type="dxa"/>
        <w:tblCellMar>
          <w:top w:w="0" w:type="dxa"/>
          <w:left w:w="0" w:type="dxa"/>
          <w:bottom w:w="0" w:type="dxa"/>
          <w:right w:w="0" w:type="dxa"/>
        </w:tblCellMar>
      </w:tblPr>
      <w:tr>
        <w:trPr>
          <w:trHeight w:val="213"/>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5"/>
          </w:tcPr>
          <w:p>
            <w:pPr>
              <w:ind w:left="960"/>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20" w:type="dxa"/>
            <w:vAlign w:val="bottom"/>
          </w:tcPr>
          <w:p>
            <w:pPr>
              <w:spacing w:after="0"/>
              <w:rPr>
                <w:sz w:val="18"/>
                <w:szCs w:val="18"/>
                <w:color w:val="auto"/>
              </w:rPr>
            </w:pPr>
          </w:p>
        </w:tc>
        <w:tc>
          <w:tcPr>
            <w:tcW w:w="134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0" w:type="dxa"/>
            <w:vAlign w:val="bottom"/>
          </w:tcPr>
          <w:p>
            <w:pPr>
              <w:spacing w:after="0"/>
              <w:rPr>
                <w:sz w:val="1"/>
                <w:szCs w:val="1"/>
                <w:color w:val="auto"/>
              </w:rPr>
            </w:pPr>
          </w:p>
        </w:tc>
      </w:tr>
      <w:tr>
        <w:trPr>
          <w:trHeight w:val="134"/>
        </w:trPr>
        <w:tc>
          <w:tcPr>
            <w:tcW w:w="3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34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20" w:type="dxa"/>
            <w:vAlign w:val="bottom"/>
          </w:tcPr>
          <w:p>
            <w:pPr>
              <w:spacing w:after="0"/>
              <w:rPr>
                <w:sz w:val="19"/>
                <w:szCs w:val="19"/>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0" w:type="dxa"/>
            <w:vAlign w:val="bottom"/>
          </w:tcPr>
          <w:p>
            <w:pPr>
              <w:spacing w:after="0"/>
              <w:rPr>
                <w:sz w:val="1"/>
                <w:szCs w:val="1"/>
                <w:color w:val="auto"/>
              </w:rPr>
            </w:pPr>
          </w:p>
        </w:tc>
      </w:tr>
      <w:tr>
        <w:trPr>
          <w:trHeight w:val="219"/>
        </w:trPr>
        <w:tc>
          <w:tcPr>
            <w:tcW w:w="3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21, 2022</w:t>
            </w:r>
          </w:p>
        </w:tc>
        <w:tc>
          <w:tcPr>
            <w:tcW w:w="120" w:type="dxa"/>
            <w:vAlign w:val="bottom"/>
          </w:tcPr>
          <w:p>
            <w:pPr>
              <w:spacing w:after="0"/>
              <w:rPr>
                <w:sz w:val="19"/>
                <w:szCs w:val="19"/>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0" w:type="dxa"/>
            <w:vAlign w:val="bottom"/>
          </w:tcPr>
          <w:p>
            <w:pPr>
              <w:spacing w:after="0"/>
              <w:rPr>
                <w:sz w:val="1"/>
                <w:szCs w:val="1"/>
                <w:color w:val="auto"/>
              </w:rPr>
            </w:pPr>
          </w:p>
        </w:tc>
      </w:tr>
      <w:tr>
        <w:trPr>
          <w:trHeight w:val="214"/>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to December 31,</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through December</w:t>
            </w:r>
          </w:p>
        </w:tc>
        <w:tc>
          <w:tcPr>
            <w:tcW w:w="0" w:type="dxa"/>
            <w:vAlign w:val="bottom"/>
          </w:tcPr>
          <w:p>
            <w:pPr>
              <w:spacing w:after="0"/>
              <w:rPr>
                <w:sz w:val="1"/>
                <w:szCs w:val="1"/>
                <w:color w:val="auto"/>
              </w:rPr>
            </w:pPr>
          </w:p>
        </w:tc>
      </w:tr>
      <w:tr>
        <w:trPr>
          <w:trHeight w:val="225"/>
        </w:trPr>
        <w:tc>
          <w:tcPr>
            <w:tcW w:w="3460" w:type="dxa"/>
            <w:vAlign w:val="bottom"/>
          </w:tcPr>
          <w:p>
            <w:pPr>
              <w:spacing w:after="0"/>
              <w:rPr>
                <w:sz w:val="19"/>
                <w:szCs w:val="19"/>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Pr>
          <w:p>
            <w:pPr>
              <w:spacing w:after="0"/>
              <w:rPr>
                <w:sz w:val="19"/>
                <w:szCs w:val="19"/>
                <w:color w:val="auto"/>
              </w:rPr>
            </w:pPr>
          </w:p>
        </w:tc>
        <w:tc>
          <w:tcPr>
            <w:tcW w:w="13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20, 2022</w:t>
            </w:r>
          </w:p>
        </w:tc>
        <w:tc>
          <w:tcPr>
            <w:tcW w:w="0" w:type="dxa"/>
            <w:vAlign w:val="bottom"/>
          </w:tcPr>
          <w:p>
            <w:pPr>
              <w:spacing w:after="0"/>
              <w:rPr>
                <w:sz w:val="1"/>
                <w:szCs w:val="1"/>
                <w:color w:val="auto"/>
              </w:rPr>
            </w:pPr>
          </w:p>
        </w:tc>
      </w:tr>
      <w:tr>
        <w:trPr>
          <w:trHeight w:val="159"/>
        </w:trPr>
        <w:tc>
          <w:tcPr>
            <w:tcW w:w="34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3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Revenue recognized at a point in time:</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License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4,523,687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3,823,276</w:t>
            </w:r>
          </w:p>
        </w:tc>
        <w:tc>
          <w:tcPr>
            <w:tcW w:w="0" w:type="dxa"/>
            <w:vAlign w:val="bottom"/>
          </w:tcPr>
          <w:p>
            <w:pPr>
              <w:spacing w:after="0"/>
              <w:rPr>
                <w:sz w:val="1"/>
                <w:szCs w:val="1"/>
                <w:color w:val="auto"/>
              </w:rPr>
            </w:pPr>
          </w:p>
        </w:tc>
      </w:tr>
      <w:tr>
        <w:trPr>
          <w:trHeight w:val="25"/>
        </w:trPr>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Revenue recognized over time: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3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Services and other</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17,423,051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739,155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21,311,045</w:t>
            </w:r>
          </w:p>
        </w:tc>
        <w:tc>
          <w:tcPr>
            <w:tcW w:w="0" w:type="dxa"/>
            <w:vAlign w:val="bottom"/>
          </w:tcPr>
          <w:p>
            <w:pPr>
              <w:spacing w:after="0"/>
              <w:rPr>
                <w:sz w:val="1"/>
                <w:szCs w:val="1"/>
                <w:color w:val="auto"/>
              </w:rPr>
            </w:pPr>
          </w:p>
        </w:tc>
      </w:tr>
      <w:tr>
        <w:trPr>
          <w:trHeight w:val="37"/>
        </w:trPr>
        <w:tc>
          <w:tcPr>
            <w:tcW w:w="3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8"/>
        </w:trPr>
        <w:tc>
          <w:tcPr>
            <w:tcW w:w="3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Subscription</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71,327,536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1,888,950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53,164,028</w:t>
            </w:r>
          </w:p>
        </w:tc>
        <w:tc>
          <w:tcPr>
            <w:tcW w:w="0" w:type="dxa"/>
            <w:vAlign w:val="bottom"/>
          </w:tcPr>
          <w:p>
            <w:pPr>
              <w:spacing w:after="0"/>
              <w:rPr>
                <w:sz w:val="1"/>
                <w:szCs w:val="1"/>
                <w:color w:val="auto"/>
              </w:rPr>
            </w:pPr>
          </w:p>
        </w:tc>
      </w:tr>
      <w:tr>
        <w:trPr>
          <w:trHeight w:val="254"/>
        </w:trPr>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93,274,273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2,628,105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78,298,349</w:t>
            </w: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1260"/>
          </w:cols>
          <w:pgMar w:left="300" w:top="536"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 by geographic region for the periods presented are summarized below:</w:t>
      </w:r>
    </w:p>
    <w:p>
      <w:pPr>
        <w:spacing w:after="0" w:line="200" w:lineRule="exact"/>
        <w:rPr>
          <w:sz w:val="20"/>
          <w:szCs w:val="20"/>
          <w:color w:val="auto"/>
        </w:rPr>
      </w:pPr>
    </w:p>
    <w:p>
      <w:pPr>
        <w:spacing w:after="0" w:line="297"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Predecessor</w:t>
            </w:r>
          </w:p>
        </w:tc>
      </w:tr>
      <w:tr>
        <w:trPr>
          <w:trHeight w:val="213"/>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5"/>
          </w:tcPr>
          <w:p>
            <w:pPr>
              <w:ind w:left="960"/>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2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(Combined)</w:t>
            </w:r>
          </w:p>
        </w:tc>
      </w:tr>
      <w:tr>
        <w:trPr>
          <w:trHeight w:val="171"/>
        </w:trPr>
        <w:tc>
          <w:tcPr>
            <w:tcW w:w="3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r>
      <w:tr>
        <w:trPr>
          <w:trHeight w:val="218"/>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2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Period from</w:t>
            </w:r>
          </w:p>
        </w:tc>
      </w:tr>
      <w:tr>
        <w:trPr>
          <w:trHeight w:val="213"/>
        </w:trPr>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21, 2022</w:t>
            </w:r>
          </w:p>
        </w:tc>
        <w:tc>
          <w:tcPr>
            <w:tcW w:w="12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January 1, 2022</w:t>
            </w:r>
          </w:p>
        </w:tc>
      </w:tr>
      <w:tr>
        <w:trPr>
          <w:trHeight w:val="226"/>
        </w:trPr>
        <w:tc>
          <w:tcPr>
            <w:tcW w:w="3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4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to December 31,</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through December</w:t>
            </w:r>
          </w:p>
        </w:tc>
      </w:tr>
      <w:tr>
        <w:trPr>
          <w:trHeight w:val="213"/>
        </w:trPr>
        <w:tc>
          <w:tcPr>
            <w:tcW w:w="346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Pr>
          <w:p>
            <w:pPr>
              <w:spacing w:after="0"/>
              <w:rPr>
                <w:sz w:val="18"/>
                <w:szCs w:val="18"/>
                <w:color w:val="auto"/>
              </w:rPr>
            </w:pPr>
          </w:p>
        </w:tc>
        <w:tc>
          <w:tcPr>
            <w:tcW w:w="13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20, 2022</w:t>
            </w:r>
          </w:p>
        </w:tc>
      </w:tr>
      <w:tr>
        <w:trPr>
          <w:trHeight w:val="171"/>
        </w:trPr>
        <w:tc>
          <w:tcPr>
            <w:tcW w:w="34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r>
      <w:tr>
        <w:trPr>
          <w:trHeight w:val="228"/>
        </w:trPr>
        <w:tc>
          <w:tcPr>
            <w:tcW w:w="3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Revenue by region:</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31"/>
        </w:trPr>
        <w:tc>
          <w:tcPr>
            <w:tcW w:w="3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United States of America</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68,086,415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1,897,864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57,359,603</w:t>
            </w:r>
          </w:p>
        </w:tc>
      </w:tr>
      <w:tr>
        <w:trPr>
          <w:trHeight w:val="37"/>
        </w:trPr>
        <w:tc>
          <w:tcPr>
            <w:tcW w:w="3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68"/>
        </w:trPr>
        <w:tc>
          <w:tcPr>
            <w:tcW w:w="3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25,187,858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730,241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20,938,746</w:t>
            </w:r>
          </w:p>
        </w:tc>
      </w:tr>
      <w:tr>
        <w:trPr>
          <w:trHeight w:val="254"/>
        </w:trPr>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93,274,273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2,628,105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78,298,349</w:t>
            </w:r>
          </w:p>
        </w:tc>
      </w:tr>
      <w:tr>
        <w:trPr>
          <w:trHeight w:val="23"/>
        </w:trPr>
        <w:tc>
          <w:tcPr>
            <w:tcW w:w="3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Contract Asset and Liability Balances</w:t>
      </w:r>
    </w:p>
    <w:p>
      <w:pPr>
        <w:spacing w:after="0" w:line="220" w:lineRule="exact"/>
        <w:rPr>
          <w:sz w:val="20"/>
          <w:szCs w:val="20"/>
          <w:color w:val="auto"/>
        </w:rPr>
      </w:pPr>
    </w:p>
    <w:p>
      <w:pPr>
        <w:jc w:val="both"/>
        <w:ind w:left="20" w:hanging="7"/>
        <w:spacing w:after="0" w:line="289" w:lineRule="auto"/>
        <w:rPr>
          <w:sz w:val="20"/>
          <w:szCs w:val="20"/>
          <w:color w:val="auto"/>
        </w:rPr>
      </w:pPr>
      <w:r>
        <w:rPr>
          <w:rFonts w:ascii="Times New Roman" w:cs="Times New Roman" w:eastAsia="Times New Roman" w:hAnsi="Times New Roman"/>
          <w:sz w:val="16"/>
          <w:szCs w:val="16"/>
          <w:color w:val="auto"/>
        </w:rPr>
        <w:t>Unbilled revenue totaled $3.5 million and $4.6 million as of December 31, 2023 and 2022 (Successor), respectively, and were recorded within prepaid expenses and other current assets on the consolidated balance sheets. There were no impairments to contract assets in either the Successor or Predecessor periods.</w:t>
      </w:r>
    </w:p>
    <w:p>
      <w:pPr>
        <w:spacing w:after="0" w:line="166" w:lineRule="exact"/>
        <w:rPr>
          <w:sz w:val="20"/>
          <w:szCs w:val="20"/>
          <w:color w:val="auto"/>
        </w:rPr>
      </w:pPr>
    </w:p>
    <w:p>
      <w:pPr>
        <w:jc w:val="both"/>
        <w:ind w:left="20" w:hanging="7"/>
        <w:spacing w:after="0" w:line="289" w:lineRule="auto"/>
        <w:rPr>
          <w:sz w:val="20"/>
          <w:szCs w:val="20"/>
          <w:color w:val="auto"/>
        </w:rPr>
      </w:pPr>
      <w:r>
        <w:rPr>
          <w:rFonts w:ascii="Times New Roman" w:cs="Times New Roman" w:eastAsia="Times New Roman" w:hAnsi="Times New Roman"/>
          <w:sz w:val="16"/>
          <w:szCs w:val="16"/>
          <w:color w:val="auto"/>
        </w:rPr>
        <w:t>Deferred revenue balances were $38.9 million and $41.1 million (net of deferred interest on significant financing component), as of December 31, 2023 and 2022 (Successor), respectively.</w:t>
      </w:r>
    </w:p>
    <w:p>
      <w:pPr>
        <w:spacing w:after="0" w:line="166" w:lineRule="exact"/>
        <w:rPr>
          <w:sz w:val="20"/>
          <w:szCs w:val="20"/>
          <w:color w:val="auto"/>
        </w:rPr>
      </w:pPr>
    </w:p>
    <w:p>
      <w:pPr>
        <w:jc w:val="both"/>
        <w:ind w:left="20" w:hanging="7"/>
        <w:spacing w:after="0" w:line="271" w:lineRule="auto"/>
        <w:rPr>
          <w:sz w:val="20"/>
          <w:szCs w:val="20"/>
          <w:color w:val="auto"/>
        </w:rPr>
      </w:pPr>
      <w:r>
        <w:rPr>
          <w:rFonts w:ascii="Times New Roman" w:cs="Times New Roman" w:eastAsia="Times New Roman" w:hAnsi="Times New Roman"/>
          <w:sz w:val="16"/>
          <w:szCs w:val="16"/>
          <w:color w:val="auto"/>
        </w:rPr>
        <w:t>Revenues recognized included in the balances of the deferred revenue at the beginning of the reporting period for the year ended December 31, 2023 (Successor), for the period from December 21, 2022 through December 31, 2022 (Successor), and for the period from January 1, 2022 through December 20, 2022 (Predecessor) were $29.5 million, $2.6 million, and $18.8 million, respectively.</w:t>
      </w:r>
    </w:p>
    <w:p>
      <w:pPr>
        <w:spacing w:after="0" w:line="169" w:lineRule="exact"/>
        <w:rPr>
          <w:sz w:val="20"/>
          <w:szCs w:val="20"/>
          <w:color w:val="auto"/>
        </w:rPr>
      </w:pPr>
    </w:p>
    <w:p>
      <w:pPr>
        <w:jc w:val="both"/>
        <w:ind w:left="20" w:hanging="7"/>
        <w:spacing w:after="0" w:line="260" w:lineRule="auto"/>
        <w:rPr>
          <w:sz w:val="20"/>
          <w:szCs w:val="20"/>
          <w:color w:val="auto"/>
        </w:rPr>
      </w:pPr>
      <w:r>
        <w:rPr>
          <w:rFonts w:ascii="Times New Roman" w:cs="Times New Roman" w:eastAsia="Times New Roman" w:hAnsi="Times New Roman"/>
          <w:sz w:val="16"/>
          <w:szCs w:val="16"/>
          <w:color w:val="auto"/>
        </w:rPr>
        <w:t>As of December 31, 2023, the aggregate amount of the transaction price allocated to the remaining performance obligations related to customer contracts that were unsatisfied or partially unsatisfied was $82.1 million. Given the applicable contract terms, $53.1 million is expected to be recognized as revenue within one year and $29.0 million is expected to be recognized between 2 to 5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the timing of delivery of products and services, or contract modifications.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1260"/>
          </w:cols>
          <w:pgMar w:left="300" w:top="536" w:right="339" w:bottom="1440" w:gutter="0" w:footer="0" w:header="0"/>
        </w:sectPr>
      </w:pPr>
    </w:p>
    <w:bookmarkStart w:id="29" w:name="page30"/>
    <w:bookmarkEnd w:id="29"/>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5. PREPAID EXPENSES AND OTHER CURRENT ASSETS</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 consist of the following:</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16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5"/>
          </w:tcPr>
          <w:p>
            <w:pPr>
              <w:jc w:val="center"/>
              <w:ind w:left="539"/>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gridSpan w:val="2"/>
          </w:tcPr>
          <w:p>
            <w:pPr>
              <w:spacing w:after="0"/>
              <w:rPr>
                <w:sz w:val="14"/>
                <w:szCs w:val="14"/>
                <w:color w:val="auto"/>
              </w:rPr>
            </w:pPr>
          </w:p>
        </w:tc>
        <w:tc>
          <w:tcPr>
            <w:tcW w:w="480" w:type="dxa"/>
            <w:vAlign w:val="bottom"/>
            <w:tcBorders>
              <w:bottom w:val="single" w:sz="8" w:color="auto"/>
            </w:tcBorders>
            <w:gridSpan w:val="2"/>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5"/>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620" w:type="dxa"/>
            <w:vAlign w:val="bottom"/>
          </w:tcPr>
          <w:p>
            <w:pPr>
              <w:spacing w:after="0"/>
              <w:rPr>
                <w:sz w:val="3"/>
                <w:szCs w:val="3"/>
                <w:color w:val="auto"/>
              </w:rPr>
            </w:pPr>
          </w:p>
        </w:tc>
        <w:tc>
          <w:tcPr>
            <w:tcW w:w="51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37"/>
        </w:trPr>
        <w:tc>
          <w:tcPr>
            <w:tcW w:w="1620" w:type="dxa"/>
            <w:vAlign w:val="bottom"/>
          </w:tcPr>
          <w:p>
            <w:pPr>
              <w:spacing w:after="0"/>
              <w:rPr>
                <w:sz w:val="3"/>
                <w:szCs w:val="3"/>
                <w:color w:val="auto"/>
              </w:rPr>
            </w:pPr>
          </w:p>
        </w:tc>
        <w:tc>
          <w:tcPr>
            <w:tcW w:w="51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1620" w:type="dxa"/>
            <w:vAlign w:val="bottom"/>
          </w:tcPr>
          <w:p>
            <w:pPr>
              <w:spacing w:after="0"/>
              <w:rPr>
                <w:sz w:val="20"/>
                <w:szCs w:val="20"/>
                <w:color w:val="auto"/>
              </w:rPr>
            </w:pPr>
          </w:p>
        </w:tc>
        <w:tc>
          <w:tcPr>
            <w:tcW w:w="5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Prepaid expenses</w:t>
            </w:r>
          </w:p>
        </w:tc>
        <w:tc>
          <w:tcPr>
            <w:tcW w:w="34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1,244,333</w:t>
            </w:r>
          </w:p>
        </w:tc>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1,157,698</w:t>
            </w:r>
          </w:p>
        </w:tc>
        <w:tc>
          <w:tcPr>
            <w:tcW w:w="0" w:type="dxa"/>
            <w:vAlign w:val="bottom"/>
          </w:tcPr>
          <w:p>
            <w:pPr>
              <w:spacing w:after="0"/>
              <w:rPr>
                <w:sz w:val="1"/>
                <w:szCs w:val="1"/>
                <w:color w:val="auto"/>
              </w:rPr>
            </w:pPr>
          </w:p>
        </w:tc>
      </w:tr>
      <w:tr>
        <w:trPr>
          <w:trHeight w:val="231"/>
        </w:trPr>
        <w:tc>
          <w:tcPr>
            <w:tcW w:w="1620" w:type="dxa"/>
            <w:vAlign w:val="bottom"/>
          </w:tcPr>
          <w:p>
            <w:pPr>
              <w:spacing w:after="0"/>
              <w:rPr>
                <w:sz w:val="20"/>
                <w:szCs w:val="20"/>
                <w:color w:val="auto"/>
              </w:rPr>
            </w:pPr>
          </w:p>
        </w:tc>
        <w:tc>
          <w:tcPr>
            <w:tcW w:w="5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receivables</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2,471,602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2,798,687</w:t>
            </w:r>
          </w:p>
        </w:tc>
        <w:tc>
          <w:tcPr>
            <w:tcW w:w="0" w:type="dxa"/>
            <w:vAlign w:val="bottom"/>
          </w:tcPr>
          <w:p>
            <w:pPr>
              <w:spacing w:after="0"/>
              <w:rPr>
                <w:sz w:val="1"/>
                <w:szCs w:val="1"/>
                <w:color w:val="auto"/>
              </w:rPr>
            </w:pPr>
          </w:p>
        </w:tc>
      </w:tr>
      <w:tr>
        <w:trPr>
          <w:trHeight w:val="37"/>
        </w:trPr>
        <w:tc>
          <w:tcPr>
            <w:tcW w:w="1620" w:type="dxa"/>
            <w:vAlign w:val="bottom"/>
          </w:tcPr>
          <w:p>
            <w:pPr>
              <w:spacing w:after="0"/>
              <w:rPr>
                <w:sz w:val="3"/>
                <w:szCs w:val="3"/>
                <w:color w:val="auto"/>
              </w:rPr>
            </w:pPr>
          </w:p>
        </w:tc>
        <w:tc>
          <w:tcPr>
            <w:tcW w:w="51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8"/>
        </w:trPr>
        <w:tc>
          <w:tcPr>
            <w:tcW w:w="1620" w:type="dxa"/>
            <w:vAlign w:val="bottom"/>
          </w:tcPr>
          <w:p>
            <w:pPr>
              <w:spacing w:after="0"/>
              <w:rPr>
                <w:sz w:val="23"/>
                <w:szCs w:val="23"/>
                <w:color w:val="auto"/>
              </w:rPr>
            </w:pPr>
          </w:p>
        </w:tc>
        <w:tc>
          <w:tcPr>
            <w:tcW w:w="5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Contracts assets</w:t>
            </w: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3,500,000</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4,598,369</w:t>
            </w:r>
          </w:p>
        </w:tc>
        <w:tc>
          <w:tcPr>
            <w:tcW w:w="0" w:type="dxa"/>
            <w:vAlign w:val="bottom"/>
          </w:tcPr>
          <w:p>
            <w:pPr>
              <w:spacing w:after="0"/>
              <w:rPr>
                <w:sz w:val="1"/>
                <w:szCs w:val="1"/>
                <w:color w:val="auto"/>
              </w:rPr>
            </w:pPr>
          </w:p>
        </w:tc>
      </w:tr>
      <w:tr>
        <w:trPr>
          <w:trHeight w:val="253"/>
        </w:trPr>
        <w:tc>
          <w:tcPr>
            <w:tcW w:w="1620" w:type="dxa"/>
            <w:vAlign w:val="bottom"/>
          </w:tcPr>
          <w:p>
            <w:pPr>
              <w:spacing w:after="0"/>
              <w:rPr>
                <w:sz w:val="21"/>
                <w:szCs w:val="21"/>
                <w:color w:val="auto"/>
              </w:rPr>
            </w:pPr>
          </w:p>
        </w:tc>
        <w:tc>
          <w:tcPr>
            <w:tcW w:w="5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tc>
        <w:tc>
          <w:tcPr>
            <w:tcW w:w="4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7,215,935</w:t>
            </w:r>
          </w:p>
        </w:tc>
        <w:tc>
          <w:tcPr>
            <w:tcW w:w="40" w:type="dxa"/>
            <w:vAlign w:val="bottom"/>
            <w:tcBorders>
              <w:top w:val="single" w:sz="8" w:color="auto"/>
              <w:bottom w:val="single" w:sz="8" w:color="auto"/>
            </w:tcBorders>
          </w:tcPr>
          <w:p>
            <w:pPr>
              <w:spacing w:after="0"/>
              <w:rPr>
                <w:sz w:val="21"/>
                <w:szCs w:val="21"/>
                <w:color w:val="auto"/>
              </w:rPr>
            </w:pPr>
          </w:p>
        </w:tc>
        <w:tc>
          <w:tcPr>
            <w:tcW w:w="100" w:type="dxa"/>
            <w:vAlign w:val="bottom"/>
            <w:gridSpan w:val="2"/>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8,554,754</w:t>
            </w:r>
          </w:p>
        </w:tc>
        <w:tc>
          <w:tcPr>
            <w:tcW w:w="0" w:type="dxa"/>
            <w:vAlign w:val="bottom"/>
          </w:tcPr>
          <w:p>
            <w:pPr>
              <w:spacing w:after="0"/>
              <w:rPr>
                <w:sz w:val="1"/>
                <w:szCs w:val="1"/>
                <w:color w:val="auto"/>
              </w:rPr>
            </w:pPr>
          </w:p>
        </w:tc>
      </w:tr>
      <w:tr>
        <w:trPr>
          <w:trHeight w:val="24"/>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NOTE 6. ACCRUED EXPENSES AND OTHER LIABILITIES</w:t>
            </w: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99"/>
        </w:trPr>
        <w:tc>
          <w:tcPr>
            <w:tcW w:w="67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expenses and other liabilities consist of the following:</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16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5"/>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5"/>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620" w:type="dxa"/>
            <w:vAlign w:val="bottom"/>
          </w:tcPr>
          <w:p>
            <w:pPr>
              <w:spacing w:after="0"/>
              <w:rPr>
                <w:sz w:val="3"/>
                <w:szCs w:val="3"/>
                <w:color w:val="auto"/>
              </w:rPr>
            </w:pPr>
          </w:p>
        </w:tc>
        <w:tc>
          <w:tcPr>
            <w:tcW w:w="512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37"/>
        </w:trPr>
        <w:tc>
          <w:tcPr>
            <w:tcW w:w="1620" w:type="dxa"/>
            <w:vAlign w:val="bottom"/>
          </w:tcPr>
          <w:p>
            <w:pPr>
              <w:spacing w:after="0"/>
              <w:rPr>
                <w:sz w:val="3"/>
                <w:szCs w:val="3"/>
                <w:color w:val="auto"/>
              </w:rPr>
            </w:pPr>
          </w:p>
        </w:tc>
        <w:tc>
          <w:tcPr>
            <w:tcW w:w="5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gridSpan w:val="2"/>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1620" w:type="dxa"/>
            <w:vAlign w:val="bottom"/>
          </w:tcPr>
          <w:p>
            <w:pPr>
              <w:spacing w:after="0"/>
              <w:rPr>
                <w:sz w:val="20"/>
                <w:szCs w:val="20"/>
                <w:color w:val="auto"/>
              </w:rPr>
            </w:pPr>
          </w:p>
        </w:tc>
        <w:tc>
          <w:tcPr>
            <w:tcW w:w="5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Payroll liabilities</w:t>
            </w:r>
          </w:p>
        </w:tc>
        <w:tc>
          <w:tcPr>
            <w:tcW w:w="34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8,906,108</w:t>
            </w:r>
          </w:p>
        </w:tc>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10,138,398</w:t>
            </w:r>
          </w:p>
        </w:tc>
        <w:tc>
          <w:tcPr>
            <w:tcW w:w="0" w:type="dxa"/>
            <w:vAlign w:val="bottom"/>
          </w:tcPr>
          <w:p>
            <w:pPr>
              <w:spacing w:after="0"/>
              <w:rPr>
                <w:sz w:val="1"/>
                <w:szCs w:val="1"/>
                <w:color w:val="auto"/>
              </w:rPr>
            </w:pPr>
          </w:p>
        </w:tc>
      </w:tr>
      <w:tr>
        <w:trPr>
          <w:trHeight w:val="231"/>
        </w:trPr>
        <w:tc>
          <w:tcPr>
            <w:tcW w:w="1620" w:type="dxa"/>
            <w:vAlign w:val="bottom"/>
          </w:tcPr>
          <w:p>
            <w:pPr>
              <w:spacing w:after="0"/>
              <w:rPr>
                <w:sz w:val="20"/>
                <w:szCs w:val="20"/>
                <w:color w:val="auto"/>
              </w:rPr>
            </w:pPr>
          </w:p>
        </w:tc>
        <w:tc>
          <w:tcPr>
            <w:tcW w:w="5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Accrued expenses</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5,361,655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6,237,470</w:t>
            </w:r>
          </w:p>
        </w:tc>
        <w:tc>
          <w:tcPr>
            <w:tcW w:w="0" w:type="dxa"/>
            <w:vAlign w:val="bottom"/>
          </w:tcPr>
          <w:p>
            <w:pPr>
              <w:spacing w:after="0"/>
              <w:rPr>
                <w:sz w:val="1"/>
                <w:szCs w:val="1"/>
                <w:color w:val="auto"/>
              </w:rPr>
            </w:pPr>
          </w:p>
        </w:tc>
      </w:tr>
      <w:tr>
        <w:trPr>
          <w:trHeight w:val="37"/>
        </w:trPr>
        <w:tc>
          <w:tcPr>
            <w:tcW w:w="1620" w:type="dxa"/>
            <w:vAlign w:val="bottom"/>
          </w:tcPr>
          <w:p>
            <w:pPr>
              <w:spacing w:after="0"/>
              <w:rPr>
                <w:sz w:val="3"/>
                <w:szCs w:val="3"/>
                <w:color w:val="auto"/>
              </w:rPr>
            </w:pPr>
          </w:p>
        </w:tc>
        <w:tc>
          <w:tcPr>
            <w:tcW w:w="51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8"/>
        </w:trPr>
        <w:tc>
          <w:tcPr>
            <w:tcW w:w="1620" w:type="dxa"/>
            <w:vAlign w:val="bottom"/>
          </w:tcPr>
          <w:p>
            <w:pPr>
              <w:spacing w:after="0"/>
              <w:rPr>
                <w:sz w:val="23"/>
                <w:szCs w:val="23"/>
                <w:color w:val="auto"/>
              </w:rPr>
            </w:pPr>
          </w:p>
        </w:tc>
        <w:tc>
          <w:tcPr>
            <w:tcW w:w="5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Other tax liability and sales tax</w:t>
            </w: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6,040,537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4,307,159</w:t>
            </w:r>
          </w:p>
        </w:tc>
        <w:tc>
          <w:tcPr>
            <w:tcW w:w="0" w:type="dxa"/>
            <w:vAlign w:val="bottom"/>
          </w:tcPr>
          <w:p>
            <w:pPr>
              <w:spacing w:after="0"/>
              <w:rPr>
                <w:sz w:val="1"/>
                <w:szCs w:val="1"/>
                <w:color w:val="auto"/>
              </w:rPr>
            </w:pPr>
          </w:p>
        </w:tc>
      </w:tr>
      <w:tr>
        <w:trPr>
          <w:trHeight w:val="253"/>
        </w:trPr>
        <w:tc>
          <w:tcPr>
            <w:tcW w:w="1620" w:type="dxa"/>
            <w:vAlign w:val="bottom"/>
          </w:tcPr>
          <w:p>
            <w:pPr>
              <w:spacing w:after="0"/>
              <w:rPr>
                <w:sz w:val="21"/>
                <w:szCs w:val="21"/>
                <w:color w:val="auto"/>
              </w:rPr>
            </w:pPr>
          </w:p>
        </w:tc>
        <w:tc>
          <w:tcPr>
            <w:tcW w:w="5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 accrued expenses and other liabilities</w:t>
            </w:r>
          </w:p>
        </w:tc>
        <w:tc>
          <w:tcPr>
            <w:tcW w:w="340" w:type="dxa"/>
            <w:vAlign w:val="bottom"/>
            <w:tcBorders>
              <w:top w:val="single" w:sz="8" w:color="auto"/>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20,308,300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Borders>
              <w:top w:val="single" w:sz="8" w:color="auto"/>
              <w:bottom w:val="single" w:sz="8" w:color="auto"/>
            </w:tcBorders>
            <w:gridSpan w:val="2"/>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20,683,027</w:t>
            </w:r>
          </w:p>
        </w:tc>
        <w:tc>
          <w:tcPr>
            <w:tcW w:w="0" w:type="dxa"/>
            <w:vAlign w:val="bottom"/>
          </w:tcPr>
          <w:p>
            <w:pPr>
              <w:spacing w:after="0"/>
              <w:rPr>
                <w:sz w:val="1"/>
                <w:szCs w:val="1"/>
                <w:color w:val="auto"/>
              </w:rPr>
            </w:pPr>
          </w:p>
        </w:tc>
      </w:tr>
      <w:tr>
        <w:trPr>
          <w:trHeight w:val="24"/>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NOTE 7. DEBT AND CAPITAL LEASE OBLIGATIONS</w:t>
            </w: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67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6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carrying amount of current and non-current debt, net of unamortized discounts, is as follows:</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16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5"/>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5"/>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620" w:type="dxa"/>
            <w:vAlign w:val="bottom"/>
          </w:tcPr>
          <w:p>
            <w:pPr>
              <w:spacing w:after="0"/>
              <w:rPr>
                <w:sz w:val="3"/>
                <w:szCs w:val="3"/>
                <w:color w:val="auto"/>
              </w:rPr>
            </w:pPr>
          </w:p>
        </w:tc>
        <w:tc>
          <w:tcPr>
            <w:tcW w:w="512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37"/>
        </w:trPr>
        <w:tc>
          <w:tcPr>
            <w:tcW w:w="1620" w:type="dxa"/>
            <w:vAlign w:val="bottom"/>
          </w:tcPr>
          <w:p>
            <w:pPr>
              <w:spacing w:after="0"/>
              <w:rPr>
                <w:sz w:val="3"/>
                <w:szCs w:val="3"/>
                <w:color w:val="auto"/>
              </w:rPr>
            </w:pPr>
          </w:p>
        </w:tc>
        <w:tc>
          <w:tcPr>
            <w:tcW w:w="5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gridSpan w:val="2"/>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1620" w:type="dxa"/>
            <w:vAlign w:val="bottom"/>
          </w:tcPr>
          <w:p>
            <w:pPr>
              <w:spacing w:after="0"/>
              <w:rPr>
                <w:sz w:val="20"/>
                <w:szCs w:val="20"/>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Monroe Term Loan Facility, net of discounts</w:t>
            </w:r>
          </w:p>
        </w:tc>
        <w:tc>
          <w:tcPr>
            <w:tcW w:w="34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70,484,643</w:t>
            </w:r>
          </w:p>
        </w:tc>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71,350,820</w:t>
            </w:r>
          </w:p>
        </w:tc>
        <w:tc>
          <w:tcPr>
            <w:tcW w:w="0" w:type="dxa"/>
            <w:vAlign w:val="bottom"/>
          </w:tcPr>
          <w:p>
            <w:pPr>
              <w:spacing w:after="0"/>
              <w:rPr>
                <w:sz w:val="1"/>
                <w:szCs w:val="1"/>
                <w:color w:val="auto"/>
              </w:rPr>
            </w:pPr>
          </w:p>
        </w:tc>
      </w:tr>
      <w:tr>
        <w:trPr>
          <w:trHeight w:val="231"/>
        </w:trPr>
        <w:tc>
          <w:tcPr>
            <w:tcW w:w="16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Monroe Delayed Draw Facility, net of discounts</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17,384,375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7"/>
        </w:trPr>
        <w:tc>
          <w:tcPr>
            <w:tcW w:w="1620" w:type="dxa"/>
            <w:vAlign w:val="bottom"/>
          </w:tcPr>
          <w:p>
            <w:pPr>
              <w:spacing w:after="0"/>
              <w:rPr>
                <w:sz w:val="3"/>
                <w:szCs w:val="3"/>
                <w:color w:val="auto"/>
              </w:rPr>
            </w:pPr>
          </w:p>
        </w:tc>
        <w:tc>
          <w:tcPr>
            <w:tcW w:w="51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8"/>
        </w:trPr>
        <w:tc>
          <w:tcPr>
            <w:tcW w:w="1620" w:type="dxa"/>
            <w:vAlign w:val="bottom"/>
          </w:tcPr>
          <w:p>
            <w:pPr>
              <w:spacing w:after="0"/>
              <w:rPr>
                <w:sz w:val="23"/>
                <w:szCs w:val="23"/>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Monroe Revolving Loan Facility</w:t>
            </w: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839,155</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Total debt obligations</w:t>
            </w:r>
          </w:p>
        </w:tc>
        <w:tc>
          <w:tcPr>
            <w:tcW w:w="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88,708,173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71,350,820</w:t>
            </w:r>
          </w:p>
        </w:tc>
        <w:tc>
          <w:tcPr>
            <w:tcW w:w="0" w:type="dxa"/>
            <w:vAlign w:val="bottom"/>
          </w:tcPr>
          <w:p>
            <w:pPr>
              <w:spacing w:after="0"/>
              <w:rPr>
                <w:sz w:val="1"/>
                <w:szCs w:val="1"/>
                <w:color w:val="auto"/>
              </w:rPr>
            </w:pPr>
          </w:p>
        </w:tc>
      </w:tr>
      <w:tr>
        <w:trPr>
          <w:trHeight w:val="37"/>
        </w:trPr>
        <w:tc>
          <w:tcPr>
            <w:tcW w:w="1620" w:type="dxa"/>
            <w:vAlign w:val="bottom"/>
          </w:tcPr>
          <w:p>
            <w:pPr>
              <w:spacing w:after="0"/>
              <w:rPr>
                <w:sz w:val="3"/>
                <w:szCs w:val="3"/>
                <w:color w:val="auto"/>
              </w:rPr>
            </w:pPr>
          </w:p>
        </w:tc>
        <w:tc>
          <w:tcPr>
            <w:tcW w:w="512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8"/>
        </w:trPr>
        <w:tc>
          <w:tcPr>
            <w:tcW w:w="1620" w:type="dxa"/>
            <w:vAlign w:val="bottom"/>
          </w:tcPr>
          <w:p>
            <w:pPr>
              <w:spacing w:after="0"/>
              <w:rPr>
                <w:sz w:val="23"/>
                <w:szCs w:val="23"/>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 of debt</w:t>
            </w: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(88,708,173)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4"/>
        </w:trPr>
        <w:tc>
          <w:tcPr>
            <w:tcW w:w="1620" w:type="dxa"/>
            <w:vAlign w:val="bottom"/>
          </w:tcPr>
          <w:p>
            <w:pPr>
              <w:spacing w:after="0"/>
              <w:rPr>
                <w:sz w:val="22"/>
                <w:szCs w:val="22"/>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Non-current portion of debt</w:t>
            </w:r>
          </w:p>
        </w:tc>
        <w:tc>
          <w:tcPr>
            <w:tcW w:w="340" w:type="dxa"/>
            <w:vAlign w:val="bottom"/>
            <w:tcBorders>
              <w:top w:val="single" w:sz="8" w:color="auto"/>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gridSpan w:val="2"/>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71,350,820</w:t>
            </w: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20" w:hanging="7"/>
        <w:spacing w:after="0" w:line="244" w:lineRule="auto"/>
        <w:rPr>
          <w:sz w:val="20"/>
          <w:szCs w:val="20"/>
          <w:color w:val="auto"/>
        </w:rPr>
      </w:pPr>
      <w:r>
        <w:rPr>
          <w:rFonts w:ascii="Times New Roman" w:cs="Times New Roman" w:eastAsia="Times New Roman" w:hAnsi="Times New Roman"/>
          <w:sz w:val="16"/>
          <w:szCs w:val="16"/>
          <w:color w:val="auto"/>
        </w:rPr>
        <w:t xml:space="preserve">At December 31, 2023 and 2022 (Successor) the Company’s consolidated balance sheet has $22.7 million and $26.2 million, respectively, of unamortized debt issuance costs related to the Company’s debt facilities which are presented as a direct reduction of the Company’s current and non-current debt, respectively, as discussed in the </w:t>
      </w:r>
      <w:r>
        <w:rPr>
          <w:rFonts w:ascii="Times New Roman" w:cs="Times New Roman" w:eastAsia="Times New Roman" w:hAnsi="Times New Roman"/>
          <w:sz w:val="16"/>
          <w:szCs w:val="16"/>
          <w:i w:val="1"/>
          <w:iCs w:val="1"/>
          <w:color w:val="auto"/>
        </w:rPr>
        <w:t xml:space="preserve">Monroe Credit Agreement </w:t>
      </w:r>
      <w:r>
        <w:rPr>
          <w:rFonts w:ascii="Times New Roman" w:cs="Times New Roman" w:eastAsia="Times New Roman" w:hAnsi="Times New Roman"/>
          <w:sz w:val="16"/>
          <w:szCs w:val="16"/>
          <w:color w:val="auto"/>
        </w:rPr>
        <w:t>section below. The carrying amount of the Company’s debt approximates fair value at each balance sheet date and is considered a Level 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measurement.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0920"/>
          </w:cols>
          <w:pgMar w:left="300" w:top="536" w:right="67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Monroe Credit Agreement (Successor)</w:t>
      </w:r>
    </w:p>
    <w:p>
      <w:pPr>
        <w:spacing w:after="0" w:line="220" w:lineRule="exact"/>
        <w:rPr>
          <w:sz w:val="20"/>
          <w:szCs w:val="20"/>
          <w:color w:val="auto"/>
        </w:rPr>
      </w:pPr>
    </w:p>
    <w:p>
      <w:pPr>
        <w:jc w:val="both"/>
        <w:ind w:left="20" w:hanging="7"/>
        <w:spacing w:after="0" w:line="258" w:lineRule="auto"/>
        <w:rPr>
          <w:sz w:val="20"/>
          <w:szCs w:val="20"/>
          <w:color w:val="auto"/>
        </w:rPr>
      </w:pPr>
      <w:r>
        <w:rPr>
          <w:rFonts w:ascii="Times New Roman" w:cs="Times New Roman" w:eastAsia="Times New Roman" w:hAnsi="Times New Roman"/>
          <w:sz w:val="16"/>
          <w:szCs w:val="16"/>
          <w:color w:val="auto"/>
        </w:rPr>
        <w:t>On December 21, 2022 the Company entered into an agreement with Monroe Capital whereby Monroe Capital extended credit to the Company in the form of (a) a term loan in the aggregate principal amount of $75 million on the closing date (the “Term Loan Facility”), (b) a $25 million committed delayed draw term loan facility (the “Delayed Draw Term Loan Facility”) and (c) a $5 million committed revolving loan facility (the “Revolving Loan Facility”). The Term Loan Facility proceeds was funded on December 21, 2022. There were no borrowings outstanding under the Delayed Draw Term Loan Facility and Revolving Loan Facility as of December 31, 2022. There were outstanding borrowings of $75.0 million on the Delayed Draw Term Loan Facility and Revolving Loan Facility, respectively, as of December 31, 2023. The Delayed Draw Term Loan has a termination date of June 21, 2024 to the extent any of the committed amounts remain undrawn. As of December 31, 2023, $6.0 million and $4.0 million of the Delayed Draw Term Loan and Revolving Loan Facility, respectively, remained undrawn. On December 31, 2023 and 2022, the future debt maturities of $110.8 million and $90.8 million (inclusive of Exit Fees discussed below). All credit facilities under the Monroe Credit Agreement have a maturity date of December 21, 2027, unless the Preferred Shareholders exercise their redemption rights prior to that in which case all amounts would be fully due to Monroe Capital at that time, or we fail a covenant without a waiver.</w:t>
      </w:r>
    </w:p>
    <w:p>
      <w:pPr>
        <w:spacing w:after="0" w:line="390" w:lineRule="exact"/>
        <w:rPr>
          <w:sz w:val="20"/>
          <w:szCs w:val="20"/>
          <w:color w:val="auto"/>
        </w:rPr>
      </w:pPr>
    </w:p>
    <w:p>
      <w:pPr>
        <w:jc w:val="both"/>
        <w:ind w:left="20" w:hanging="7"/>
        <w:spacing w:after="0" w:line="289" w:lineRule="auto"/>
        <w:rPr>
          <w:sz w:val="20"/>
          <w:szCs w:val="20"/>
          <w:color w:val="auto"/>
        </w:rPr>
      </w:pPr>
      <w:r>
        <w:rPr>
          <w:rFonts w:ascii="Times New Roman" w:cs="Times New Roman" w:eastAsia="Times New Roman" w:hAnsi="Times New Roman"/>
          <w:sz w:val="16"/>
          <w:szCs w:val="16"/>
          <w:color w:val="auto"/>
        </w:rPr>
        <w:t>The Term Loan Facility carries a variable interest rate based on the secured overnight financing rate administered by the Federal Reserve Bank of New York (the “SOFR”), an applicable margin and monthly periodic interest period adjustment, totaling a rate of 14.6% and 13.8% as of December 31, 2023 and 2022, respectively.</w:t>
      </w:r>
    </w:p>
    <w:p>
      <w:pPr>
        <w:spacing w:after="0" w:line="166" w:lineRule="exact"/>
        <w:rPr>
          <w:sz w:val="20"/>
          <w:szCs w:val="20"/>
          <w:color w:val="auto"/>
        </w:rPr>
      </w:pPr>
    </w:p>
    <w:p>
      <w:pPr>
        <w:jc w:val="both"/>
        <w:ind w:left="20" w:hanging="7"/>
        <w:spacing w:after="0" w:line="259" w:lineRule="auto"/>
        <w:rPr>
          <w:sz w:val="20"/>
          <w:szCs w:val="20"/>
          <w:color w:val="auto"/>
        </w:rPr>
      </w:pPr>
      <w:r>
        <w:rPr>
          <w:rFonts w:ascii="Times New Roman" w:cs="Times New Roman" w:eastAsia="Times New Roman" w:hAnsi="Times New Roman"/>
          <w:sz w:val="16"/>
          <w:szCs w:val="16"/>
          <w:color w:val="auto"/>
        </w:rPr>
        <w:t xml:space="preserve">Lender fees and third-party debt issuance costs in the total amount of $7.6 million were incurred associated with execution of the Monroe Credit Agreement. The Company also will incur an Exit Fee of $15.7 million payable to Monroe Capital upon the earlier of maturity or such other date as the obligations under the credit agreement are paid in full. Additionally, Monroe Capital received at no charge warrants to acquire shares of the Company’s Series A-2 Preferred Stock at an amount equal to 7.5% percent of the Total Commitments. The Series A-2 Preferred Stock warrants were determined to have a fair value of $2.9 million at the issuance date, which was recorded within other non-current liabilities on the consolidated balance sheet as of December 31, 2022 (Successor), refer to </w:t>
      </w:r>
      <w:r>
        <w:rPr>
          <w:rFonts w:ascii="Times New Roman" w:cs="Times New Roman" w:eastAsia="Times New Roman" w:hAnsi="Times New Roman"/>
          <w:sz w:val="16"/>
          <w:szCs w:val="16"/>
          <w:i w:val="1"/>
          <w:iCs w:val="1"/>
          <w:color w:val="auto"/>
        </w:rPr>
        <w:t>Note 12</w:t>
      </w:r>
      <w:r>
        <w:rPr>
          <w:rFonts w:ascii="Times New Roman" w:cs="Times New Roman" w:eastAsia="Times New Roman" w:hAnsi="Times New Roman"/>
          <w:sz w:val="16"/>
          <w:szCs w:val="16"/>
          <w:color w:val="auto"/>
        </w:rPr>
        <w:t>. Each of the above amounts, $26.2 million in total, are collectively treated as capitalized debt issuance costs related to each of the credit facilities and therefore allocated between the Term Loan Facility, Delayed Draw Term Loan Facility, and Revolving Loan Facility based on the commitment amount of each facility relative to the total commitments of $105.0 million. The Company amortizes deferred financing costs using a method that approximates the effective interest method over the term of the related financing.</w:t>
      </w:r>
    </w:p>
    <w:p>
      <w:pPr>
        <w:spacing w:after="0" w:line="179" w:lineRule="exact"/>
        <w:rPr>
          <w:sz w:val="20"/>
          <w:szCs w:val="20"/>
          <w:color w:val="auto"/>
        </w:rPr>
      </w:pPr>
    </w:p>
    <w:p>
      <w:pPr>
        <w:jc w:val="both"/>
        <w:ind w:left="20" w:hanging="7"/>
        <w:spacing w:after="0" w:line="266" w:lineRule="auto"/>
        <w:rPr>
          <w:sz w:val="20"/>
          <w:szCs w:val="20"/>
          <w:color w:val="auto"/>
        </w:rPr>
      </w:pPr>
      <w:r>
        <w:rPr>
          <w:rFonts w:ascii="Times New Roman" w:cs="Times New Roman" w:eastAsia="Times New Roman" w:hAnsi="Times New Roman"/>
          <w:sz w:val="16"/>
          <w:szCs w:val="16"/>
          <w:color w:val="auto"/>
        </w:rPr>
        <w:t>In addition to the interest rates set forth above, prior to the Conversion Date, each loan shall accrue interest at 1% per annum (the “PIK Rate”) and the amount accrued shall be paid in kind monthly in arrears on the last business day of each calendar month, beginning with the month ending December 31, 2022. Any interest that is paid in kind under this provision shall be capitalized and added to the outstanding principal amount of such. The Company accrued $763 thousand related to paid in kind interest as of December 31, 2023.</w:t>
      </w:r>
    </w:p>
    <w:p>
      <w:pPr>
        <w:spacing w:after="0" w:line="184" w:lineRule="exact"/>
        <w:rPr>
          <w:sz w:val="20"/>
          <w:szCs w:val="20"/>
          <w:color w:val="auto"/>
        </w:rPr>
      </w:pPr>
    </w:p>
    <w:p>
      <w:pPr>
        <w:jc w:val="both"/>
        <w:ind w:left="20" w:hanging="7"/>
        <w:spacing w:after="0" w:line="263" w:lineRule="auto"/>
        <w:rPr>
          <w:sz w:val="20"/>
          <w:szCs w:val="20"/>
          <w:color w:val="auto"/>
        </w:rPr>
      </w:pPr>
      <w:r>
        <w:rPr>
          <w:rFonts w:ascii="Times New Roman" w:cs="Times New Roman" w:eastAsia="Times New Roman" w:hAnsi="Times New Roman"/>
          <w:sz w:val="16"/>
          <w:szCs w:val="16"/>
          <w:color w:val="auto"/>
        </w:rPr>
        <w:t>Amortization of debt issuance costs across all three credit facilities amounted to approximately $3.4 million and $100 thousand for the year ended December 31, 2023 (Successor periods), and from December 21, 2022 through December 31, 2022 (Successor period), respectively, and is reflected in the consolidated and combined statements of operations and comprehensive loss, together with interest expense. Interest expense recorded in the consolidated statements of operations and comprehensive loss amounted to $12.3 million and $285 thousand for the year ended December 31, 2023 (Successor period), and from December 21, 2022 through December 31, 2022 (Successor period), respectively, related to Monroe Credit Agreement.</w:t>
      </w:r>
    </w:p>
    <w:p>
      <w:pPr>
        <w:spacing w:after="0" w:line="187" w:lineRule="exact"/>
        <w:rPr>
          <w:sz w:val="20"/>
          <w:szCs w:val="20"/>
          <w:color w:val="auto"/>
        </w:rPr>
      </w:pPr>
    </w:p>
    <w:p>
      <w:pPr>
        <w:jc w:val="both"/>
        <w:ind w:left="20" w:hanging="7"/>
        <w:spacing w:after="0" w:line="271" w:lineRule="auto"/>
        <w:rPr>
          <w:sz w:val="20"/>
          <w:szCs w:val="20"/>
          <w:color w:val="auto"/>
        </w:rPr>
      </w:pPr>
      <w:r>
        <w:rPr>
          <w:rFonts w:ascii="Times New Roman" w:cs="Times New Roman" w:eastAsia="Times New Roman" w:hAnsi="Times New Roman"/>
          <w:sz w:val="16"/>
          <w:szCs w:val="16"/>
          <w:color w:val="auto"/>
        </w:rPr>
        <w:t>The Borrower shall repay the principal amount of the Term Loan Facility on the last business day of each quarter, beginning with the first fiscal quarter ending after the Conversion Date, in an amount equal to the product of (A) the original funded principal amount and (B) 0.25%. The loans are subject to mandatory prepayment upon receipt of certain proceeds, or excess cash flows, as defined, after the Conversion Date.</w:t>
      </w:r>
    </w:p>
    <w:p>
      <w:pPr>
        <w:spacing w:after="0" w:line="181" w:lineRule="exact"/>
        <w:rPr>
          <w:sz w:val="20"/>
          <w:szCs w:val="20"/>
          <w:color w:val="auto"/>
        </w:rPr>
      </w:pPr>
    </w:p>
    <w:p>
      <w:pPr>
        <w:jc w:val="both"/>
        <w:ind w:left="20" w:hanging="7"/>
        <w:spacing w:after="0" w:line="289" w:lineRule="auto"/>
        <w:rPr>
          <w:sz w:val="20"/>
          <w:szCs w:val="20"/>
          <w:color w:val="auto"/>
        </w:rPr>
      </w:pPr>
      <w:r>
        <w:rPr>
          <w:rFonts w:ascii="Times New Roman" w:cs="Times New Roman" w:eastAsia="Times New Roman" w:hAnsi="Times New Roman"/>
          <w:sz w:val="16"/>
          <w:szCs w:val="16"/>
          <w:color w:val="auto"/>
        </w:rPr>
        <w:t>Under the terms of the relevant financing agreements with Monroe, the Company has granted Monroe a security interest in substantially all assets of the Company. In addition, the Company has pledged 100% of the stock and/or equity interests of</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11260"/>
          </w:cols>
          <w:pgMar w:left="300" w:top="536"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following companies: Amelia Holding II LLC, Amelia Holding I LLC, Amelia US LLC, IPsoft Government Solutions, LLC, and Amelia NL BV.</w:t>
      </w:r>
    </w:p>
    <w:p>
      <w:pPr>
        <w:spacing w:after="0" w:line="231" w:lineRule="exact"/>
        <w:rPr>
          <w:sz w:val="20"/>
          <w:szCs w:val="20"/>
          <w:color w:val="auto"/>
        </w:rPr>
      </w:pPr>
    </w:p>
    <w:p>
      <w:pPr>
        <w:jc w:val="both"/>
        <w:ind w:left="20" w:right="20" w:hanging="7"/>
        <w:spacing w:after="0" w:line="266" w:lineRule="auto"/>
        <w:rPr>
          <w:sz w:val="20"/>
          <w:szCs w:val="20"/>
          <w:color w:val="auto"/>
        </w:rPr>
      </w:pPr>
      <w:r>
        <w:rPr>
          <w:rFonts w:ascii="Times New Roman" w:cs="Times New Roman" w:eastAsia="Times New Roman" w:hAnsi="Times New Roman"/>
          <w:sz w:val="16"/>
          <w:szCs w:val="16"/>
          <w:color w:val="auto"/>
        </w:rPr>
        <w:t xml:space="preserve">The Monroe Credit Agreement also has an acceleration clause relating to a change in control in which the Preferred Stockholder would no longer exercise the same voting and other protective provisions as established as of December 21, 2022. In addition, if the Preferred Stockholder exercised its redemption rights under the Preferred Stock Agreement, as described in </w:t>
      </w:r>
      <w:r>
        <w:rPr>
          <w:rFonts w:ascii="Times New Roman" w:cs="Times New Roman" w:eastAsia="Times New Roman" w:hAnsi="Times New Roman"/>
          <w:sz w:val="16"/>
          <w:szCs w:val="16"/>
          <w:i w:val="1"/>
          <w:iCs w:val="1"/>
          <w:color w:val="auto"/>
        </w:rPr>
        <w:t>Note 12</w:t>
      </w:r>
      <w:r>
        <w:rPr>
          <w:rFonts w:ascii="Times New Roman" w:cs="Times New Roman" w:eastAsia="Times New Roman" w:hAnsi="Times New Roman"/>
          <w:sz w:val="16"/>
          <w:szCs w:val="16"/>
          <w:color w:val="auto"/>
        </w:rPr>
        <w:t>, all amounts due under the Monroe Credit Agreement (including the Exit Fee) would accelerate to Monroe Capital prior to any amounts due to the Preferred Stockholder as a result of exercising the redemption right.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the Monroe Credit Agreement, the Company agreed to certain restrictive covenants, including the following financial covenants: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Recurring Revenue Leverage Ratio</w:t>
      </w:r>
    </w:p>
    <w:p>
      <w:pPr>
        <w:spacing w:after="0" w:line="220"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Prior to a conversion date, the Recurring Revenue Leverage Ratio, defined as the ratio of (a) Consolidated Total Debt to (b) Annualized Recurring Revenue as tested on a quarterly basis ranging from a ratio of 1.50: 1.00 to 0.75: 1.00 over the life of the debt facilities.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Minimum Liquidity</w:t>
      </w:r>
    </w:p>
    <w:p>
      <w:pPr>
        <w:spacing w:after="0" w:line="220"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Prior to a conversion date, the Monroe Credit Agreement does not permit liquidity at any time to be less than $15,000,000. Liquidity is defined in the agreement as the combination of cash and cash equivalents, and the accessible but unused portion of the Revolving Loan Facility.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Total Net Leverage Ratio</w:t>
      </w:r>
    </w:p>
    <w:p>
      <w:pPr>
        <w:spacing w:after="0" w:line="220" w:lineRule="exact"/>
        <w:rPr>
          <w:sz w:val="20"/>
          <w:szCs w:val="20"/>
          <w:color w:val="auto"/>
        </w:rPr>
      </w:pPr>
    </w:p>
    <w:p>
      <w:pPr>
        <w:jc w:val="both"/>
        <w:ind w:left="20" w:right="20" w:hanging="7"/>
        <w:spacing w:after="0" w:line="271" w:lineRule="auto"/>
        <w:rPr>
          <w:sz w:val="20"/>
          <w:szCs w:val="20"/>
          <w:color w:val="auto"/>
        </w:rPr>
      </w:pPr>
      <w:r>
        <w:rPr>
          <w:rFonts w:ascii="Times New Roman" w:cs="Times New Roman" w:eastAsia="Times New Roman" w:hAnsi="Times New Roman"/>
          <w:sz w:val="16"/>
          <w:szCs w:val="16"/>
          <w:color w:val="auto"/>
        </w:rPr>
        <w:t>From and after the Conversion Date, the Total Net Leverage Ratio, defined as the ratio of (a) Consolidated Total Debt as of such date minus the aggregate amount of unrestricted cash and Cash Equivalents held as of date in such deposit or securities accounts subject to Control Agreements up to a maximum of $5,000,000 (subject to certain adjustments) to (b) Consolidated EBITDA on a quarterly basis ranging from a ratio of 7.00 : 1. 00 to 4.00 : 1.00 over the life of the debt facilities.</w:t>
      </w:r>
    </w:p>
    <w:p>
      <w:pPr>
        <w:spacing w:after="0" w:line="181"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On June 27, 2024, Monroe Capital exercised its rights under the Monroe Credit Agreement to convert Amelia Holdings II, LLC, the legal borrower and direct subsidiary through which the Company manages all other subsidiaries, from a member managed company to a manager managed company, appointing an independent manager.</w:t>
      </w:r>
    </w:p>
    <w:p>
      <w:pPr>
        <w:spacing w:after="0" w:line="166" w:lineRule="exact"/>
        <w:rPr>
          <w:sz w:val="20"/>
          <w:szCs w:val="20"/>
          <w:color w:val="auto"/>
        </w:rPr>
      </w:pPr>
    </w:p>
    <w:p>
      <w:pPr>
        <w:jc w:val="both"/>
        <w:ind w:left="20" w:hanging="7"/>
        <w:spacing w:after="0" w:line="266" w:lineRule="auto"/>
        <w:rPr>
          <w:sz w:val="20"/>
          <w:szCs w:val="20"/>
          <w:color w:val="auto"/>
        </w:rPr>
      </w:pPr>
      <w:r>
        <w:rPr>
          <w:rFonts w:ascii="Times New Roman" w:cs="Times New Roman" w:eastAsia="Times New Roman" w:hAnsi="Times New Roman"/>
          <w:sz w:val="16"/>
          <w:szCs w:val="16"/>
          <w:color w:val="auto"/>
        </w:rPr>
        <w:t>On July 8, 2024, Monroe Capital and the Company entered a forbearance agreement such that the financial covenants described above are temporarily suspended through August 15, 2024, and access and ability to draw on the Revolving Loan Facility was confirmed. As part of the agreement, the Company agreed that any draw on the Revolving Loan Facility result in pro-forma cash of no more than $1 million after utilization of the drawn funds. Following the expiration of the forbearance agreement the Company would not likely be in compliance of its covenants and as a result the Company has classified all outstanding debt under the Monroe Credit Agreement as current.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Hewlett-Packard Factoring Agreement (Predecessor)</w:t>
      </w:r>
    </w:p>
    <w:p>
      <w:pPr>
        <w:spacing w:after="0" w:line="233" w:lineRule="exact"/>
        <w:rPr>
          <w:sz w:val="20"/>
          <w:szCs w:val="20"/>
          <w:color w:val="auto"/>
        </w:rPr>
      </w:pPr>
    </w:p>
    <w:p>
      <w:pPr>
        <w:jc w:val="both"/>
        <w:ind w:left="20" w:hanging="7"/>
        <w:spacing w:after="0" w:line="263" w:lineRule="auto"/>
        <w:rPr>
          <w:sz w:val="20"/>
          <w:szCs w:val="20"/>
          <w:color w:val="auto"/>
        </w:rPr>
      </w:pPr>
      <w:r>
        <w:rPr>
          <w:rFonts w:ascii="Times New Roman" w:cs="Times New Roman" w:eastAsia="Times New Roman" w:hAnsi="Times New Roman"/>
          <w:sz w:val="16"/>
          <w:szCs w:val="16"/>
          <w:color w:val="auto"/>
        </w:rPr>
        <w:t>On October 16, 2019, an Amelia Component legal entity entered into a financing agreement with Hewlett Packard International Bank totaling approximately €9.9 million ($11 million). After debt issuance costs the Company received approximately €8.8 million ($9.7 million) of loan proceeds. The original repayment of the loan carried monthly installments of approximately €220 thousand ($260 thousand) commencing in February 2020 and ending in October 2023 and did not have a stated interest rate. During the last quarter of the year-ended December 31, 2020, certain terms of the loan were amended to extend the maturity date to October 2024 and modify the monthly payments to approximately €201 thousand ($238 thousand) commencing in March 2021.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11280"/>
          </w:cols>
          <w:pgMar w:left="300" w:top="536" w:right="31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The outstanding loan balance was paid in full on December 21, 2022, in conjunction with the Amelia Business Combination, resulting in a loss on settlement of approximately $279 thousand, recorded in other expense for the Successor period from December 21, 2022, through December 31, 2022.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Convertible Promissory Note (Predecessor)</w:t>
      </w:r>
    </w:p>
    <w:p>
      <w:pPr>
        <w:spacing w:after="0" w:line="220" w:lineRule="exact"/>
        <w:rPr>
          <w:sz w:val="20"/>
          <w:szCs w:val="20"/>
          <w:color w:val="auto"/>
        </w:rPr>
      </w:pPr>
    </w:p>
    <w:p>
      <w:pPr>
        <w:jc w:val="both"/>
        <w:ind w:left="20" w:hanging="7"/>
        <w:spacing w:after="0" w:line="266" w:lineRule="auto"/>
        <w:rPr>
          <w:sz w:val="20"/>
          <w:szCs w:val="20"/>
          <w:color w:val="auto"/>
        </w:rPr>
      </w:pPr>
      <w:r>
        <w:rPr>
          <w:rFonts w:ascii="Times New Roman" w:cs="Times New Roman" w:eastAsia="Times New Roman" w:hAnsi="Times New Roman"/>
          <w:sz w:val="16"/>
          <w:szCs w:val="16"/>
          <w:color w:val="auto"/>
        </w:rPr>
        <w:t>On December 13, 2021, Amelia Holdings I LLC (a Predecessor legal entity), issued a convertible promissory note for an aggregate principal amount of $30.0 million (the Note) payable to BuildGroup LLC (BuildGroup). The note accrues interest at 11.00% per annum, is secured by a first lien on substantially all of the assets of the Predecessor Parent and is guaranteed by its Chief Executive Officer, Chetan Dube. The entire unpaid principal amount and all unpaid accrued interest was fully due and payable upon the earliest occurrence of the following:</w:t>
      </w:r>
    </w:p>
    <w:p>
      <w:pPr>
        <w:spacing w:after="0" w:line="221" w:lineRule="exact"/>
        <w:rPr>
          <w:sz w:val="20"/>
          <w:szCs w:val="20"/>
          <w:color w:val="auto"/>
        </w:rPr>
      </w:pPr>
    </w:p>
    <w:p>
      <w:pPr>
        <w:jc w:val="both"/>
        <w:ind w:left="600" w:right="20" w:hanging="290"/>
        <w:spacing w:after="0" w:line="241" w:lineRule="auto"/>
        <w:tabs>
          <w:tab w:leader="none" w:pos="595"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In the event that Amelia Holdings I LLC and Build Acquisition, 100% owned subsidiary of BuildGroup, enter into a definitive agreement to affect the Business Combination (Business Combination Agreement), the outstanding principal amount and all unpaid accrued interest thereon shall be due and payable on a date defined in the Business Combination Agreement,</w:t>
      </w:r>
    </w:p>
    <w:p>
      <w:pPr>
        <w:spacing w:after="0" w:line="240" w:lineRule="exact"/>
        <w:rPr>
          <w:rFonts w:ascii="Times New Roman" w:cs="Times New Roman" w:eastAsia="Times New Roman" w:hAnsi="Times New Roman"/>
          <w:sz w:val="20"/>
          <w:szCs w:val="20"/>
          <w:color w:val="auto"/>
        </w:rPr>
      </w:pPr>
    </w:p>
    <w:p>
      <w:pPr>
        <w:jc w:val="both"/>
        <w:ind w:left="600" w:right="20" w:hanging="290"/>
        <w:spacing w:after="0" w:line="245" w:lineRule="auto"/>
        <w:tabs>
          <w:tab w:leader="none" w:pos="595"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In the event that the Predecessor Parent and Build Acquisition have not entered into a Business Combination Agreement by March 31, 2022, outstanding principal amount and all unpaid accrued interest shall be due and payable on June 30, 2022, unless the Predecessor Parent and Build Acquisition are then continuing in good faith (as determined reasonably by Build Acquisition) to negotiate the Business Combination Agreement, in which case the Maturity Date shall be extended to September 30, 2022, or</w:t>
      </w:r>
    </w:p>
    <w:p>
      <w:pPr>
        <w:spacing w:after="0" w:line="238" w:lineRule="exact"/>
        <w:rPr>
          <w:rFonts w:ascii="Times New Roman" w:cs="Times New Roman" w:eastAsia="Times New Roman" w:hAnsi="Times New Roman"/>
          <w:sz w:val="20"/>
          <w:szCs w:val="20"/>
          <w:color w:val="auto"/>
        </w:rPr>
      </w:pPr>
    </w:p>
    <w:p>
      <w:pPr>
        <w:jc w:val="both"/>
        <w:ind w:left="600" w:right="20" w:hanging="290"/>
        <w:spacing w:after="0" w:line="241" w:lineRule="auto"/>
        <w:tabs>
          <w:tab w:leader="none" w:pos="595"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Irrespective of whether the Predecessor Parent and Build Acquisition have entered into a Business Combination Agreement, outstanding principal amount and all unpaid accrued interest shall be due and payable upon the occurrence of an event of default, in each case, unless sooner paid or converted in accordance with the terms herein.</w:t>
      </w:r>
    </w:p>
    <w:p>
      <w:pPr>
        <w:spacing w:after="0" w:line="192" w:lineRule="exact"/>
        <w:rPr>
          <w:sz w:val="20"/>
          <w:szCs w:val="20"/>
          <w:color w:val="auto"/>
        </w:rPr>
      </w:pPr>
    </w:p>
    <w:p>
      <w:pPr>
        <w:jc w:val="both"/>
        <w:ind w:left="20" w:hanging="7"/>
        <w:spacing w:after="0" w:line="263" w:lineRule="auto"/>
        <w:rPr>
          <w:sz w:val="20"/>
          <w:szCs w:val="20"/>
          <w:color w:val="auto"/>
        </w:rPr>
      </w:pPr>
      <w:r>
        <w:rPr>
          <w:rFonts w:ascii="Times New Roman" w:cs="Times New Roman" w:eastAsia="Times New Roman" w:hAnsi="Times New Roman"/>
          <w:sz w:val="16"/>
          <w:szCs w:val="16"/>
          <w:color w:val="auto"/>
        </w:rPr>
        <w:t>In May 2022, the Company entered into an amendment to the Note such that the date by which the parties are to have entered into a Business Combination Agreement would be amended to June 30, 2022, and should that not be achieved, would establish a date upon which all outstanding principal and interest would be due of September 30, 2022. Additionally, the amendment requires the payment of a $2.0 million extension fee either upon maturity or repayment of the Note. The May 2022 amendment was accounted for as a modification and as such no gain or loss was recognized for this transaction. The $2.0 million extension fee payable to the lender was capitalized and amortized as a component of interest expense through the amended maturity date of September 30,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September 30, 2022, the Note was extended as the Predecessor Parent and Build Group continued to negotiate the preferred share purchase agreement discussed in Note</w:t>
      </w:r>
    </w:p>
    <w:p>
      <w:pPr>
        <w:spacing w:after="0" w:line="27" w:lineRule="exact"/>
        <w:rPr>
          <w:sz w:val="20"/>
          <w:szCs w:val="20"/>
          <w:color w:val="auto"/>
        </w:rPr>
      </w:pPr>
    </w:p>
    <w:p>
      <w:pPr>
        <w:jc w:val="both"/>
        <w:ind w:left="20" w:right="20" w:hanging="2"/>
        <w:spacing w:after="0" w:line="257" w:lineRule="auto"/>
        <w:tabs>
          <w:tab w:leader="none" w:pos="27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21, 2022, in conjunction with the Reorganization and Amelia Business Combination, Amelia Holdings and Build Group entered into a share purchase agreement whereby Build Group LLC was issued 3,654,170 shares of Series A-1 Preferred Stock of Amelia Holdings, based on a purchase price of $9.6928 per share, in exchange for contributing its note receivable from Amelia Holdings I LLC related to the Note and the note receivable received from Build Group effectively settled all amounts outstanding under the Note ($35.4 million) in conjunction with the Amelia Business Combination. As part of the share purchase agreement, Build Group was also granted Common Stock warrants for the purchase of 8,804,870 shares of the Company’s common stock at $9.6928 per share. The warrants carry an expiration date of December 21, 2032.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LEASES</w:t>
      </w:r>
    </w:p>
    <w:p>
      <w:pPr>
        <w:spacing w:after="0" w:line="220" w:lineRule="exact"/>
        <w:rPr>
          <w:sz w:val="20"/>
          <w:szCs w:val="20"/>
          <w:color w:val="auto"/>
        </w:rPr>
      </w:pPr>
    </w:p>
    <w:p>
      <w:pPr>
        <w:jc w:val="both"/>
        <w:ind w:left="20" w:right="20" w:hanging="7"/>
        <w:spacing w:after="0" w:line="236" w:lineRule="auto"/>
        <w:rPr>
          <w:sz w:val="20"/>
          <w:szCs w:val="20"/>
          <w:color w:val="auto"/>
        </w:rPr>
      </w:pPr>
      <w:r>
        <w:rPr>
          <w:rFonts w:ascii="Times New Roman" w:cs="Times New Roman" w:eastAsia="Times New Roman" w:hAnsi="Times New Roman"/>
          <w:sz w:val="16"/>
          <w:szCs w:val="16"/>
          <w:color w:val="auto"/>
        </w:rPr>
        <w:t>The Company has non-cancelable operating leases for several office spaces and technology-related equipment expiring through December 2025. Total rental expense for these office spaces and technology related equipment was $0.6 million</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6"/>
          <w:szCs w:val="16"/>
          <w:color w:val="auto"/>
        </w:rPr>
        <w:t xml:space="preserve"> $30 thousand, and $0.9 million for the year ended December 31, 2023 (Successor period) and for the Successor period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11280"/>
          </w:cols>
          <w:pgMar w:left="300" w:top="536" w:right="31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from December 21, 2022 through December 31, 2022, and for the Predecessor period from January 1 through December 20, 2022, respectively.</w:t>
      </w:r>
    </w:p>
    <w:p>
      <w:pPr>
        <w:spacing w:after="0" w:line="231" w:lineRule="exact"/>
        <w:rPr>
          <w:sz w:val="20"/>
          <w:szCs w:val="20"/>
          <w:color w:val="auto"/>
        </w:rPr>
      </w:pPr>
    </w:p>
    <w:p>
      <w:pPr>
        <w:jc w:val="both"/>
        <w:ind w:left="20" w:hanging="7"/>
        <w:spacing w:after="0" w:line="264" w:lineRule="auto"/>
        <w:rPr>
          <w:sz w:val="20"/>
          <w:szCs w:val="20"/>
          <w:color w:val="auto"/>
        </w:rPr>
      </w:pPr>
      <w:r>
        <w:rPr>
          <w:rFonts w:ascii="Times New Roman" w:cs="Times New Roman" w:eastAsia="Times New Roman" w:hAnsi="Times New Roman"/>
          <w:sz w:val="16"/>
          <w:szCs w:val="16"/>
          <w:color w:val="auto"/>
        </w:rPr>
        <w:t>The following table presents the consolidated balance sheet presentation of the Company’s right-of-use assets and related lease liabilities as of December 31, 2023 (Successor):</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620" w:type="dxa"/>
            <w:vAlign w:val="bottom"/>
          </w:tcPr>
          <w:p>
            <w:pPr>
              <w:spacing w:after="0"/>
              <w:rPr>
                <w:sz w:val="20"/>
                <w:szCs w:val="20"/>
                <w:color w:val="auto"/>
              </w:rPr>
            </w:pPr>
          </w:p>
        </w:tc>
        <w:tc>
          <w:tcPr>
            <w:tcW w:w="2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1620" w:type="dxa"/>
            <w:vAlign w:val="bottom"/>
          </w:tcPr>
          <w:p>
            <w:pPr>
              <w:spacing w:after="0"/>
              <w:rPr>
                <w:sz w:val="20"/>
                <w:szCs w:val="20"/>
                <w:color w:val="auto"/>
              </w:rPr>
            </w:pPr>
          </w:p>
        </w:tc>
        <w:tc>
          <w:tcPr>
            <w:tcW w:w="2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lease assets</w:t>
            </w:r>
          </w:p>
        </w:tc>
        <w:tc>
          <w:tcPr>
            <w:tcW w:w="40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Right of use assets, net</w:t>
            </w: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353,186</w:t>
            </w:r>
          </w:p>
        </w:tc>
        <w:tc>
          <w:tcPr>
            <w:tcW w:w="0" w:type="dxa"/>
            <w:vAlign w:val="bottom"/>
          </w:tcPr>
          <w:p>
            <w:pPr>
              <w:spacing w:after="0"/>
              <w:rPr>
                <w:sz w:val="1"/>
                <w:szCs w:val="1"/>
                <w:color w:val="auto"/>
              </w:rPr>
            </w:pPr>
          </w:p>
        </w:tc>
      </w:tr>
      <w:tr>
        <w:trPr>
          <w:trHeight w:val="37"/>
        </w:trPr>
        <w:tc>
          <w:tcPr>
            <w:tcW w:w="1620" w:type="dxa"/>
            <w:vAlign w:val="bottom"/>
          </w:tcPr>
          <w:p>
            <w:pPr>
              <w:spacing w:after="0"/>
              <w:rPr>
                <w:sz w:val="3"/>
                <w:szCs w:val="3"/>
                <w:color w:val="auto"/>
              </w:rPr>
            </w:pPr>
          </w:p>
        </w:tc>
        <w:tc>
          <w:tcPr>
            <w:tcW w:w="2480" w:type="dxa"/>
            <w:vAlign w:val="bottom"/>
            <w:tcBorders>
              <w:bottom w:val="single" w:sz="8" w:color="CCEEFF"/>
            </w:tcBorders>
          </w:tcPr>
          <w:p>
            <w:pPr>
              <w:spacing w:after="0"/>
              <w:rPr>
                <w:sz w:val="3"/>
                <w:szCs w:val="3"/>
                <w:color w:val="auto"/>
              </w:rPr>
            </w:pPr>
          </w:p>
        </w:tc>
        <w:tc>
          <w:tcPr>
            <w:tcW w:w="40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1620" w:type="dxa"/>
            <w:vAlign w:val="bottom"/>
          </w:tcPr>
          <w:p>
            <w:pPr>
              <w:spacing w:after="0"/>
              <w:rPr>
                <w:sz w:val="24"/>
                <w:szCs w:val="24"/>
                <w:color w:val="auto"/>
              </w:rPr>
            </w:pPr>
          </w:p>
        </w:tc>
        <w:tc>
          <w:tcPr>
            <w:tcW w:w="2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lease assets</w:t>
            </w:r>
          </w:p>
        </w:tc>
        <w:tc>
          <w:tcPr>
            <w:tcW w:w="40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353,186</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4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4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62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620" w:type="dxa"/>
            <w:vAlign w:val="bottom"/>
          </w:tcPr>
          <w:p>
            <w:pPr>
              <w:spacing w:after="0"/>
              <w:rPr>
                <w:sz w:val="19"/>
                <w:szCs w:val="19"/>
                <w:color w:val="auto"/>
              </w:rPr>
            </w:pPr>
          </w:p>
        </w:tc>
        <w:tc>
          <w:tcPr>
            <w:tcW w:w="2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w:t>
            </w:r>
          </w:p>
        </w:tc>
        <w:tc>
          <w:tcPr>
            <w:tcW w:w="40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620" w:type="dxa"/>
            <w:vAlign w:val="bottom"/>
          </w:tcPr>
          <w:p>
            <w:pPr>
              <w:spacing w:after="0"/>
              <w:rPr>
                <w:sz w:val="20"/>
                <w:szCs w:val="20"/>
                <w:color w:val="auto"/>
              </w:rPr>
            </w:pPr>
          </w:p>
        </w:tc>
        <w:tc>
          <w:tcPr>
            <w:tcW w:w="2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0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Short-term lease obligations</w:t>
            </w:r>
          </w:p>
        </w:tc>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230,451</w:t>
            </w:r>
          </w:p>
        </w:tc>
        <w:tc>
          <w:tcPr>
            <w:tcW w:w="0" w:type="dxa"/>
            <w:vAlign w:val="bottom"/>
          </w:tcPr>
          <w:p>
            <w:pPr>
              <w:spacing w:after="0"/>
              <w:rPr>
                <w:sz w:val="1"/>
                <w:szCs w:val="1"/>
                <w:color w:val="auto"/>
              </w:rPr>
            </w:pPr>
          </w:p>
        </w:tc>
      </w:tr>
      <w:tr>
        <w:trPr>
          <w:trHeight w:val="37"/>
        </w:trPr>
        <w:tc>
          <w:tcPr>
            <w:tcW w:w="16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406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1620" w:type="dxa"/>
            <w:vAlign w:val="bottom"/>
          </w:tcPr>
          <w:p>
            <w:pPr>
              <w:spacing w:after="0"/>
              <w:rPr>
                <w:sz w:val="18"/>
                <w:szCs w:val="18"/>
                <w:color w:val="auto"/>
              </w:rPr>
            </w:pPr>
          </w:p>
        </w:tc>
        <w:tc>
          <w:tcPr>
            <w:tcW w:w="2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Non-current</w:t>
            </w:r>
          </w:p>
        </w:tc>
        <w:tc>
          <w:tcPr>
            <w:tcW w:w="40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620" w:type="dxa"/>
            <w:vAlign w:val="bottom"/>
          </w:tcPr>
          <w:p>
            <w:pPr>
              <w:spacing w:after="0"/>
              <w:rPr>
                <w:sz w:val="20"/>
                <w:szCs w:val="20"/>
                <w:color w:val="auto"/>
              </w:rPr>
            </w:pPr>
          </w:p>
        </w:tc>
        <w:tc>
          <w:tcPr>
            <w:tcW w:w="2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0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139,691</w:t>
            </w:r>
          </w:p>
        </w:tc>
        <w:tc>
          <w:tcPr>
            <w:tcW w:w="0" w:type="dxa"/>
            <w:vAlign w:val="bottom"/>
          </w:tcPr>
          <w:p>
            <w:pPr>
              <w:spacing w:after="0"/>
              <w:rPr>
                <w:sz w:val="1"/>
                <w:szCs w:val="1"/>
                <w:color w:val="auto"/>
              </w:rPr>
            </w:pPr>
          </w:p>
        </w:tc>
      </w:tr>
      <w:tr>
        <w:trPr>
          <w:trHeight w:val="37"/>
        </w:trPr>
        <w:tc>
          <w:tcPr>
            <w:tcW w:w="1620" w:type="dxa"/>
            <w:vAlign w:val="bottom"/>
          </w:tcPr>
          <w:p>
            <w:pPr>
              <w:spacing w:after="0"/>
              <w:rPr>
                <w:sz w:val="3"/>
                <w:szCs w:val="3"/>
                <w:color w:val="auto"/>
              </w:rPr>
            </w:pPr>
          </w:p>
        </w:tc>
        <w:tc>
          <w:tcPr>
            <w:tcW w:w="2480" w:type="dxa"/>
            <w:vAlign w:val="bottom"/>
            <w:tcBorders>
              <w:bottom w:val="single" w:sz="8" w:color="CCEEFF"/>
            </w:tcBorders>
          </w:tcPr>
          <w:p>
            <w:pPr>
              <w:spacing w:after="0"/>
              <w:rPr>
                <w:sz w:val="3"/>
                <w:szCs w:val="3"/>
                <w:color w:val="auto"/>
              </w:rPr>
            </w:pPr>
          </w:p>
        </w:tc>
        <w:tc>
          <w:tcPr>
            <w:tcW w:w="40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1620" w:type="dxa"/>
            <w:vAlign w:val="bottom"/>
          </w:tcPr>
          <w:p>
            <w:pPr>
              <w:spacing w:after="0"/>
              <w:rPr>
                <w:sz w:val="22"/>
                <w:szCs w:val="22"/>
                <w:color w:val="auto"/>
              </w:rPr>
            </w:pPr>
          </w:p>
        </w:tc>
        <w:tc>
          <w:tcPr>
            <w:tcW w:w="2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lease liabilities</w:t>
            </w:r>
          </w:p>
        </w:tc>
        <w:tc>
          <w:tcPr>
            <w:tcW w:w="40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370,142</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18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As of December 31, 2023, maturities of future operating lease liabilities are as follows:</w:t>
            </w: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7"/>
        </w:trPr>
        <w:tc>
          <w:tcPr>
            <w:tcW w:w="8180" w:type="dxa"/>
            <w:vAlign w:val="bottom"/>
            <w:gridSpan w:val="4"/>
            <w:vMerge w:val="continue"/>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620" w:type="dxa"/>
            <w:vAlign w:val="bottom"/>
            <w:vMerge w:val="restart"/>
          </w:tcPr>
          <w:p>
            <w:pPr>
              <w:spacing w:after="0"/>
              <w:rPr>
                <w:sz w:val="20"/>
                <w:szCs w:val="20"/>
                <w:color w:val="auto"/>
              </w:rPr>
            </w:pPr>
          </w:p>
        </w:tc>
        <w:tc>
          <w:tcPr>
            <w:tcW w:w="24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620" w:type="dxa"/>
            <w:vAlign w:val="bottom"/>
            <w:vMerge w:val="continue"/>
          </w:tcPr>
          <w:p>
            <w:pPr>
              <w:spacing w:after="0"/>
              <w:rPr>
                <w:sz w:val="21"/>
                <w:szCs w:val="21"/>
                <w:color w:val="auto"/>
              </w:rPr>
            </w:pPr>
          </w:p>
        </w:tc>
        <w:tc>
          <w:tcPr>
            <w:tcW w:w="2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2024</w:t>
            </w:r>
          </w:p>
        </w:tc>
        <w:tc>
          <w:tcPr>
            <w:tcW w:w="4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259,087</w:t>
            </w:r>
          </w:p>
        </w:tc>
        <w:tc>
          <w:tcPr>
            <w:tcW w:w="0" w:type="dxa"/>
            <w:vAlign w:val="bottom"/>
          </w:tcPr>
          <w:p>
            <w:pPr>
              <w:spacing w:after="0"/>
              <w:rPr>
                <w:sz w:val="1"/>
                <w:szCs w:val="1"/>
                <w:color w:val="auto"/>
              </w:rPr>
            </w:pPr>
          </w:p>
        </w:tc>
      </w:tr>
      <w:tr>
        <w:trPr>
          <w:trHeight w:val="211"/>
        </w:trPr>
        <w:tc>
          <w:tcPr>
            <w:tcW w:w="162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2025</w:t>
            </w:r>
          </w:p>
        </w:tc>
        <w:tc>
          <w:tcPr>
            <w:tcW w:w="4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131,282</w:t>
            </w:r>
          </w:p>
        </w:tc>
        <w:tc>
          <w:tcPr>
            <w:tcW w:w="0" w:type="dxa"/>
            <w:vAlign w:val="bottom"/>
          </w:tcPr>
          <w:p>
            <w:pPr>
              <w:spacing w:after="0"/>
              <w:rPr>
                <w:sz w:val="1"/>
                <w:szCs w:val="1"/>
                <w:color w:val="auto"/>
              </w:rPr>
            </w:pPr>
          </w:p>
        </w:tc>
      </w:tr>
      <w:tr>
        <w:trPr>
          <w:trHeight w:val="21"/>
        </w:trPr>
        <w:tc>
          <w:tcPr>
            <w:tcW w:w="1620" w:type="dxa"/>
            <w:vAlign w:val="bottom"/>
            <w:vMerge w:val="restart"/>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620" w:type="dxa"/>
            <w:vAlign w:val="bottom"/>
            <w:vMerge w:val="continue"/>
          </w:tcPr>
          <w:p>
            <w:pPr>
              <w:spacing w:after="0"/>
              <w:rPr>
                <w:sz w:val="18"/>
                <w:szCs w:val="18"/>
                <w:color w:val="auto"/>
              </w:rPr>
            </w:pPr>
          </w:p>
        </w:tc>
        <w:tc>
          <w:tcPr>
            <w:tcW w:w="2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2026</w:t>
            </w:r>
          </w:p>
        </w:tc>
        <w:tc>
          <w:tcPr>
            <w:tcW w:w="40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7,628</w:t>
            </w:r>
          </w:p>
        </w:tc>
        <w:tc>
          <w:tcPr>
            <w:tcW w:w="0" w:type="dxa"/>
            <w:vAlign w:val="bottom"/>
          </w:tcPr>
          <w:p>
            <w:pPr>
              <w:spacing w:after="0"/>
              <w:rPr>
                <w:sz w:val="1"/>
                <w:szCs w:val="1"/>
                <w:color w:val="auto"/>
              </w:rPr>
            </w:pPr>
          </w:p>
        </w:tc>
      </w:tr>
      <w:tr>
        <w:trPr>
          <w:trHeight w:val="231"/>
        </w:trPr>
        <w:tc>
          <w:tcPr>
            <w:tcW w:w="1620" w:type="dxa"/>
            <w:vAlign w:val="bottom"/>
          </w:tcPr>
          <w:p>
            <w:pPr>
              <w:spacing w:after="0"/>
              <w:rPr>
                <w:sz w:val="20"/>
                <w:szCs w:val="20"/>
                <w:color w:val="auto"/>
              </w:rPr>
            </w:pPr>
          </w:p>
        </w:tc>
        <w:tc>
          <w:tcPr>
            <w:tcW w:w="2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4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7"/>
        </w:trPr>
        <w:tc>
          <w:tcPr>
            <w:tcW w:w="1620" w:type="dxa"/>
            <w:vAlign w:val="bottom"/>
          </w:tcPr>
          <w:p>
            <w:pPr>
              <w:spacing w:after="0"/>
              <w:rPr>
                <w:sz w:val="3"/>
                <w:szCs w:val="3"/>
                <w:color w:val="auto"/>
              </w:rPr>
            </w:pPr>
          </w:p>
        </w:tc>
        <w:tc>
          <w:tcPr>
            <w:tcW w:w="2480" w:type="dxa"/>
            <w:vAlign w:val="bottom"/>
            <w:tcBorders>
              <w:bottom w:val="single" w:sz="8" w:color="CCEEFF"/>
            </w:tcBorders>
          </w:tcPr>
          <w:p>
            <w:pPr>
              <w:spacing w:after="0"/>
              <w:rPr>
                <w:sz w:val="3"/>
                <w:szCs w:val="3"/>
                <w:color w:val="auto"/>
              </w:rPr>
            </w:pPr>
          </w:p>
        </w:tc>
        <w:tc>
          <w:tcPr>
            <w:tcW w:w="40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620" w:type="dxa"/>
            <w:vAlign w:val="bottom"/>
          </w:tcPr>
          <w:p>
            <w:pPr>
              <w:spacing w:after="0"/>
              <w:rPr>
                <w:sz w:val="19"/>
                <w:szCs w:val="19"/>
                <w:color w:val="auto"/>
              </w:rPr>
            </w:pPr>
          </w:p>
        </w:tc>
        <w:tc>
          <w:tcPr>
            <w:tcW w:w="2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future lease payments</w:t>
            </w:r>
          </w:p>
        </w:tc>
        <w:tc>
          <w:tcPr>
            <w:tcW w:w="40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397,997</w:t>
            </w:r>
          </w:p>
        </w:tc>
        <w:tc>
          <w:tcPr>
            <w:tcW w:w="0" w:type="dxa"/>
            <w:vAlign w:val="bottom"/>
          </w:tcPr>
          <w:p>
            <w:pPr>
              <w:spacing w:after="0"/>
              <w:rPr>
                <w:sz w:val="1"/>
                <w:szCs w:val="1"/>
                <w:color w:val="auto"/>
              </w:rPr>
            </w:pPr>
          </w:p>
        </w:tc>
      </w:tr>
      <w:tr>
        <w:trPr>
          <w:trHeight w:val="231"/>
        </w:trPr>
        <w:tc>
          <w:tcPr>
            <w:tcW w:w="1620" w:type="dxa"/>
            <w:vAlign w:val="bottom"/>
          </w:tcPr>
          <w:p>
            <w:pPr>
              <w:spacing w:after="0"/>
              <w:rPr>
                <w:sz w:val="20"/>
                <w:szCs w:val="20"/>
                <w:color w:val="auto"/>
              </w:rPr>
            </w:pPr>
          </w:p>
        </w:tc>
        <w:tc>
          <w:tcPr>
            <w:tcW w:w="2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imputed interest</w:t>
            </w:r>
          </w:p>
        </w:tc>
        <w:tc>
          <w:tcPr>
            <w:tcW w:w="4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(27,855)</w:t>
            </w:r>
          </w:p>
        </w:tc>
        <w:tc>
          <w:tcPr>
            <w:tcW w:w="0" w:type="dxa"/>
            <w:vAlign w:val="bottom"/>
          </w:tcPr>
          <w:p>
            <w:pPr>
              <w:spacing w:after="0"/>
              <w:rPr>
                <w:sz w:val="1"/>
                <w:szCs w:val="1"/>
                <w:color w:val="auto"/>
              </w:rPr>
            </w:pPr>
          </w:p>
        </w:tc>
      </w:tr>
      <w:tr>
        <w:trPr>
          <w:trHeight w:val="37"/>
        </w:trPr>
        <w:tc>
          <w:tcPr>
            <w:tcW w:w="1620" w:type="dxa"/>
            <w:vAlign w:val="bottom"/>
          </w:tcPr>
          <w:p>
            <w:pPr>
              <w:spacing w:after="0"/>
              <w:rPr>
                <w:sz w:val="3"/>
                <w:szCs w:val="3"/>
                <w:color w:val="auto"/>
              </w:rPr>
            </w:pPr>
          </w:p>
        </w:tc>
        <w:tc>
          <w:tcPr>
            <w:tcW w:w="2480" w:type="dxa"/>
            <w:vAlign w:val="bottom"/>
            <w:tcBorders>
              <w:bottom w:val="single" w:sz="8" w:color="CCEEFF"/>
            </w:tcBorders>
          </w:tcPr>
          <w:p>
            <w:pPr>
              <w:spacing w:after="0"/>
              <w:rPr>
                <w:sz w:val="3"/>
                <w:szCs w:val="3"/>
                <w:color w:val="auto"/>
              </w:rPr>
            </w:pPr>
          </w:p>
        </w:tc>
        <w:tc>
          <w:tcPr>
            <w:tcW w:w="40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1620" w:type="dxa"/>
            <w:vAlign w:val="bottom"/>
          </w:tcPr>
          <w:p>
            <w:pPr>
              <w:spacing w:after="0"/>
              <w:rPr>
                <w:sz w:val="24"/>
                <w:szCs w:val="24"/>
                <w:color w:val="auto"/>
              </w:rPr>
            </w:pPr>
          </w:p>
        </w:tc>
        <w:tc>
          <w:tcPr>
            <w:tcW w:w="2480" w:type="dxa"/>
            <w:vAlign w:val="bottom"/>
            <w:tcBorders>
              <w:bottom w:val="single" w:sz="8" w:color="CCEEFF"/>
            </w:tcBorders>
            <w:shd w:val="clear" w:color="auto" w:fill="CCEEFF"/>
          </w:tcPr>
          <w:p>
            <w:pPr>
              <w:spacing w:after="0"/>
              <w:rPr>
                <w:sz w:val="24"/>
                <w:szCs w:val="24"/>
                <w:color w:val="auto"/>
              </w:rPr>
            </w:pPr>
          </w:p>
        </w:tc>
        <w:tc>
          <w:tcPr>
            <w:tcW w:w="40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370,142</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ind w:left="20" w:hanging="7"/>
        <w:spacing w:after="0" w:line="282" w:lineRule="auto"/>
        <w:rPr>
          <w:sz w:val="20"/>
          <w:szCs w:val="20"/>
          <w:color w:val="auto"/>
        </w:rPr>
      </w:pPr>
      <w:r>
        <w:rPr>
          <w:rFonts w:ascii="Times New Roman" w:cs="Times New Roman" w:eastAsia="Times New Roman" w:hAnsi="Times New Roman"/>
          <w:sz w:val="16"/>
          <w:szCs w:val="16"/>
          <w:color w:val="auto"/>
        </w:rPr>
        <w:t>Terms under the Company’s operating leases are recognized as rent expense in the consolidated and combined statements of operations and comprehensive loss on a straight-line basis. Amounts received from subleases are presented in other income (expense), net in the consolidated and combined statements of operations and comprehensive loss.</w:t>
      </w:r>
    </w:p>
    <w:p>
      <w:pPr>
        <w:spacing w:after="0" w:line="372" w:lineRule="exact"/>
        <w:rPr>
          <w:sz w:val="20"/>
          <w:szCs w:val="20"/>
          <w:color w:val="auto"/>
        </w:rPr>
      </w:pPr>
    </w:p>
    <w:p>
      <w:pPr>
        <w:jc w:val="both"/>
        <w:ind w:left="20" w:hanging="7"/>
        <w:spacing w:after="0" w:line="263" w:lineRule="auto"/>
        <w:rPr>
          <w:sz w:val="20"/>
          <w:szCs w:val="20"/>
          <w:color w:val="auto"/>
        </w:rPr>
      </w:pPr>
      <w:r>
        <w:rPr>
          <w:rFonts w:ascii="Times New Roman" w:cs="Times New Roman" w:eastAsia="Times New Roman" w:hAnsi="Times New Roman"/>
          <w:sz w:val="16"/>
          <w:szCs w:val="16"/>
          <w:color w:val="auto"/>
        </w:rPr>
        <w:t>Subsequent to the Amelia Business Combination, the Company is expected to continue to occupy certain floors leased by the Predecessor Parent on a month-to-month basis until the landlord approves the sublease of these floors to the Company. Additionally, the Company continued to pay rent on behalf of the Predecessor Parent with all payments reducing amounts owed to the Predecessor Parent under the CVR Agreement in connection with the Amelia Business Combination (see Note 3) during 2023. The Company was charged $2.7 million, $0.1 million, and $7.1 million for the use of office space leased by the Predecessor Parent for the year ended December 31, 2023 (Successor), and from December 21, 2022 through December 31, 2022 (Successor), and from January 1 through December 20, 2022 (Predecessor),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RETIREMENT PLANS</w:t>
      </w:r>
    </w:p>
    <w:p>
      <w:pPr>
        <w:spacing w:after="0" w:line="233" w:lineRule="exact"/>
        <w:rPr>
          <w:sz w:val="20"/>
          <w:szCs w:val="20"/>
          <w:color w:val="auto"/>
        </w:rPr>
      </w:pPr>
    </w:p>
    <w:p>
      <w:pPr>
        <w:jc w:val="both"/>
        <w:ind w:left="20" w:hanging="7"/>
        <w:spacing w:after="0" w:line="263" w:lineRule="auto"/>
        <w:rPr>
          <w:sz w:val="20"/>
          <w:szCs w:val="20"/>
          <w:color w:val="auto"/>
        </w:rPr>
      </w:pPr>
      <w:r>
        <w:rPr>
          <w:rFonts w:ascii="Times New Roman" w:cs="Times New Roman" w:eastAsia="Times New Roman" w:hAnsi="Times New Roman"/>
          <w:sz w:val="16"/>
          <w:szCs w:val="16"/>
          <w:color w:val="auto"/>
        </w:rPr>
        <w:t>The Company offers defined contribution plans to eligible employees. These plans are offered in the following jurisdictions: US, Australia, Canada, France, Germany, Japan, Netherlands, Norway, Slovakia, Spain, Sweden, and the UK. The Company has no additional liability beyond its contributions. The participants in the plan can direct their contributions to numerous investment options. The Company’s contribution cost for the year ended December 31, 2023 (Successor period), and for the Successor period from December 21, 2022 through December 31, 2022, and or the Predecessor period from January 1 through December 20, 2022, amounted to $3.3 million, zero, and $2.4 million, respectively, and is included in the consolidated and combined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11260"/>
          </w:cols>
          <w:pgMar w:left="300" w:top="536"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hanging="7"/>
        <w:spacing w:after="0" w:line="289" w:lineRule="auto"/>
        <w:rPr>
          <w:sz w:val="20"/>
          <w:szCs w:val="20"/>
          <w:color w:val="auto"/>
        </w:rPr>
      </w:pPr>
      <w:r>
        <w:rPr>
          <w:rFonts w:ascii="Times New Roman" w:cs="Times New Roman" w:eastAsia="Times New Roman" w:hAnsi="Times New Roman"/>
          <w:sz w:val="16"/>
          <w:szCs w:val="16"/>
          <w:color w:val="auto"/>
        </w:rPr>
        <w:t>The Company is statutorily required to provide post-employee benefits for eligible employees in India. The annual cost of these benefits is based upon a specific actuarial computation which is followed consistently. The overall financial impact to the Company’s financial position, operations, and cash flows of this plan is immaterial.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INCOME TAXES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geographical breakdown of income (loss) before income taxes:</w:t>
      </w:r>
    </w:p>
    <w:p>
      <w:pPr>
        <w:spacing w:after="0" w:line="289" w:lineRule="exact"/>
        <w:rPr>
          <w:sz w:val="20"/>
          <w:szCs w:val="20"/>
          <w:color w:val="auto"/>
        </w:rPr>
      </w:pPr>
    </w:p>
    <w:tbl>
      <w:tblPr>
        <w:tblLayout w:type="fixed"/>
        <w:tblInd w:w="1620" w:type="dxa"/>
        <w:tblCellMar>
          <w:top w:w="0" w:type="dxa"/>
          <w:left w:w="0" w:type="dxa"/>
          <w:bottom w:w="0" w:type="dxa"/>
          <w:right w:w="0" w:type="dxa"/>
        </w:tblCellMar>
      </w:tblPr>
      <w:tr>
        <w:trPr>
          <w:trHeight w:val="213"/>
        </w:trPr>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Predecessor</w:t>
            </w:r>
          </w:p>
        </w:tc>
      </w:tr>
      <w:tr>
        <w:trPr>
          <w:trHeight w:val="37"/>
        </w:trPr>
        <w:tc>
          <w:tcPr>
            <w:tcW w:w="25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2"/>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Borders>
              <w:bottom w:val="single" w:sz="8" w:color="auto"/>
            </w:tcBorders>
            <w:gridSpan w:val="2"/>
          </w:tcPr>
          <w:p>
            <w:pPr>
              <w:spacing w:after="0"/>
              <w:rPr>
                <w:sz w:val="3"/>
                <w:szCs w:val="3"/>
                <w:color w:val="auto"/>
              </w:rPr>
            </w:pPr>
          </w:p>
        </w:tc>
      </w:tr>
      <w:tr>
        <w:trPr>
          <w:trHeight w:val="223"/>
        </w:trPr>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Period from December</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Period from January 1,</w:t>
            </w:r>
          </w:p>
        </w:tc>
      </w:tr>
      <w:tr>
        <w:trPr>
          <w:trHeight w:val="214"/>
        </w:trPr>
        <w:tc>
          <w:tcPr>
            <w:tcW w:w="2560" w:type="dxa"/>
            <w:vAlign w:val="bottom"/>
          </w:tcPr>
          <w:p>
            <w:pPr>
              <w:spacing w:after="0"/>
              <w:rPr>
                <w:sz w:val="18"/>
                <w:szCs w:val="18"/>
                <w:color w:val="auto"/>
              </w:rPr>
            </w:pP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w:t>
            </w:r>
          </w:p>
        </w:tc>
        <w:tc>
          <w:tcPr>
            <w:tcW w:w="19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21, 2022 to December</w:t>
            </w:r>
          </w:p>
        </w:tc>
        <w:tc>
          <w:tcPr>
            <w:tcW w:w="120" w:type="dxa"/>
            <w:vAlign w:val="bottom"/>
          </w:tcPr>
          <w:p>
            <w:pPr>
              <w:spacing w:after="0"/>
              <w:rPr>
                <w:sz w:val="18"/>
                <w:szCs w:val="18"/>
                <w:color w:val="auto"/>
              </w:rPr>
            </w:pPr>
          </w:p>
        </w:tc>
        <w:tc>
          <w:tcPr>
            <w:tcW w:w="15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2022 through</w:t>
            </w:r>
          </w:p>
        </w:tc>
      </w:tr>
      <w:tr>
        <w:trPr>
          <w:trHeight w:val="225"/>
        </w:trPr>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w w:val="99"/>
              </w:rPr>
              <w:t>31, 2022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December 20, 2022</w:t>
            </w:r>
          </w:p>
        </w:tc>
      </w:tr>
      <w:tr>
        <w:trPr>
          <w:trHeight w:val="37"/>
        </w:trPr>
        <w:tc>
          <w:tcPr>
            <w:tcW w:w="25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40"/>
        </w:trPr>
        <w:tc>
          <w:tcPr>
            <w:tcW w:w="25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Domestic</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(55,186,977)</w:t>
            </w: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(11,910,609)</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(33,005,266)</w:t>
            </w:r>
          </w:p>
        </w:tc>
      </w:tr>
      <w:tr>
        <w:trPr>
          <w:trHeight w:val="231"/>
        </w:trPr>
        <w:tc>
          <w:tcPr>
            <w:tcW w:w="2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Foreign</w:t>
            </w: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(10,746,916)</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304,209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(6,418,707)</w:t>
            </w:r>
          </w:p>
        </w:tc>
      </w:tr>
      <w:tr>
        <w:trPr>
          <w:trHeight w:val="37"/>
        </w:trPr>
        <w:tc>
          <w:tcPr>
            <w:tcW w:w="25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65"/>
        </w:trPr>
        <w:tc>
          <w:tcPr>
            <w:tcW w:w="25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(65,933,893)</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(11,606,400)</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(39,423,973)</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tax expense (benefit) consisted of the following for the following periods:</w:t>
      </w:r>
    </w:p>
    <w:p>
      <w:pPr>
        <w:spacing w:after="0" w:line="289" w:lineRule="exact"/>
        <w:rPr>
          <w:sz w:val="20"/>
          <w:szCs w:val="20"/>
          <w:color w:val="auto"/>
        </w:rPr>
      </w:pPr>
    </w:p>
    <w:tbl>
      <w:tblPr>
        <w:tblLayout w:type="fixed"/>
        <w:tblInd w:w="162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gridSpan w:val="6"/>
          </w:tcPr>
          <w:p>
            <w:pPr>
              <w:ind w:left="980"/>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40" w:type="dxa"/>
            <w:vAlign w:val="bottom"/>
          </w:tcPr>
          <w:p>
            <w:pPr>
              <w:spacing w:after="0"/>
              <w:rPr>
                <w:sz w:val="18"/>
                <w:szCs w:val="18"/>
                <w:color w:val="auto"/>
              </w:rPr>
            </w:pPr>
          </w:p>
        </w:tc>
        <w:tc>
          <w:tcPr>
            <w:tcW w:w="13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Predecessor</w:t>
            </w:r>
          </w:p>
        </w:tc>
      </w:tr>
      <w:tr>
        <w:trPr>
          <w:trHeight w:val="37"/>
        </w:trPr>
        <w:tc>
          <w:tcPr>
            <w:tcW w:w="33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18"/>
        </w:trPr>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Period from</w:t>
            </w:r>
          </w:p>
        </w:tc>
      </w:tr>
      <w:tr>
        <w:trPr>
          <w:trHeight w:val="225"/>
        </w:trPr>
        <w:tc>
          <w:tcPr>
            <w:tcW w:w="3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40" w:type="dxa"/>
            <w:vAlign w:val="bottom"/>
          </w:tcPr>
          <w:p>
            <w:pPr>
              <w:spacing w:after="0"/>
              <w:rPr>
                <w:sz w:val="19"/>
                <w:szCs w:val="19"/>
                <w:color w:val="auto"/>
              </w:rPr>
            </w:pPr>
          </w:p>
        </w:tc>
        <w:tc>
          <w:tcPr>
            <w:tcW w:w="13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January 1, 2022</w:t>
            </w:r>
          </w:p>
        </w:tc>
      </w:tr>
      <w:tr>
        <w:trPr>
          <w:trHeight w:val="268"/>
        </w:trPr>
        <w:tc>
          <w:tcPr>
            <w:tcW w:w="3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166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21, 2022</w:t>
            </w:r>
          </w:p>
        </w:tc>
        <w:tc>
          <w:tcPr>
            <w:tcW w:w="140" w:type="dxa"/>
            <w:vAlign w:val="bottom"/>
          </w:tcPr>
          <w:p>
            <w:pPr>
              <w:spacing w:after="0"/>
              <w:rPr>
                <w:sz w:val="23"/>
                <w:szCs w:val="23"/>
                <w:color w:val="auto"/>
              </w:rPr>
            </w:pPr>
          </w:p>
        </w:tc>
        <w:tc>
          <w:tcPr>
            <w:tcW w:w="13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through</w:t>
            </w:r>
          </w:p>
        </w:tc>
      </w:tr>
      <w:tr>
        <w:trPr>
          <w:trHeight w:val="268"/>
        </w:trPr>
        <w:tc>
          <w:tcPr>
            <w:tcW w:w="3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23"/>
                <w:szCs w:val="23"/>
                <w:color w:val="auto"/>
              </w:rPr>
            </w:pPr>
          </w:p>
        </w:tc>
        <w:tc>
          <w:tcPr>
            <w:tcW w:w="154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to December 31,</w:t>
            </w:r>
          </w:p>
        </w:tc>
        <w:tc>
          <w:tcPr>
            <w:tcW w:w="140" w:type="dxa"/>
            <w:vAlign w:val="bottom"/>
          </w:tcPr>
          <w:p>
            <w:pPr>
              <w:spacing w:after="0"/>
              <w:rPr>
                <w:sz w:val="23"/>
                <w:szCs w:val="23"/>
                <w:color w:val="auto"/>
              </w:rPr>
            </w:pPr>
          </w:p>
        </w:tc>
        <w:tc>
          <w:tcPr>
            <w:tcW w:w="13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December 20,</w:t>
            </w:r>
          </w:p>
        </w:tc>
      </w:tr>
      <w:tr>
        <w:trPr>
          <w:trHeight w:val="268"/>
        </w:trPr>
        <w:tc>
          <w:tcPr>
            <w:tcW w:w="3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37"/>
        </w:trPr>
        <w:tc>
          <w:tcPr>
            <w:tcW w:w="33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28"/>
        </w:trPr>
        <w:tc>
          <w:tcPr>
            <w:tcW w:w="3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Current tax expense (benefit):</w:t>
            </w: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r>
      <w:tr>
        <w:trPr>
          <w:trHeight w:val="243"/>
        </w:trPr>
        <w:tc>
          <w:tcPr>
            <w:tcW w:w="3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 Federal</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right w:val="single" w:sz="8" w:color="auto"/>
            </w:tcBorders>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8"/>
        </w:trPr>
        <w:tc>
          <w:tcPr>
            <w:tcW w:w="3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State and Local</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right w:val="single" w:sz="8" w:color="auto"/>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203,043</w:t>
            </w:r>
          </w:p>
        </w:tc>
      </w:tr>
      <w:tr>
        <w:trPr>
          <w:trHeight w:val="243"/>
        </w:trPr>
        <w:tc>
          <w:tcPr>
            <w:tcW w:w="3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358,783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Borders>
              <w:right w:val="single" w:sz="8" w:color="auto"/>
            </w:tcBorders>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323,220</w:t>
            </w:r>
          </w:p>
        </w:tc>
      </w:tr>
      <w:tr>
        <w:trPr>
          <w:trHeight w:val="25"/>
        </w:trPr>
        <w:tc>
          <w:tcPr>
            <w:tcW w:w="3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0"/>
        </w:trPr>
        <w:tc>
          <w:tcPr>
            <w:tcW w:w="33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392,686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right w:val="single" w:sz="8" w:color="auto"/>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526,263</w:t>
            </w:r>
          </w:p>
        </w:tc>
      </w:tr>
      <w:tr>
        <w:trPr>
          <w:trHeight w:val="211"/>
        </w:trPr>
        <w:tc>
          <w:tcPr>
            <w:tcW w:w="33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Deferred tax expense (benefit):</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37"/>
        </w:trPr>
        <w:tc>
          <w:tcPr>
            <w:tcW w:w="3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48"/>
        </w:trPr>
        <w:tc>
          <w:tcPr>
            <w:tcW w:w="3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Federal</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right w:val="single" w:sz="8" w:color="auto"/>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3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 State and Local</w:t>
            </w:r>
          </w:p>
        </w:tc>
        <w:tc>
          <w:tcPr>
            <w:tcW w:w="18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460" w:type="dxa"/>
            <w:vAlign w:val="bottom"/>
            <w:tcBorders>
              <w:right w:val="single" w:sz="8" w:color="auto"/>
            </w:tcBorders>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5"/>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8"/>
        </w:trPr>
        <w:tc>
          <w:tcPr>
            <w:tcW w:w="3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right w:val="single" w:sz="8" w:color="auto"/>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23,078</w:t>
            </w:r>
          </w:p>
        </w:tc>
      </w:tr>
      <w:tr>
        <w:trPr>
          <w:trHeight w:val="223"/>
        </w:trPr>
        <w:tc>
          <w:tcPr>
            <w:tcW w:w="3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102,614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23,076</w:t>
            </w:r>
          </w:p>
        </w:tc>
      </w:tr>
      <w:tr>
        <w:trPr>
          <w:trHeight w:val="37"/>
        </w:trPr>
        <w:tc>
          <w:tcPr>
            <w:tcW w:w="33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0" w:type="dxa"/>
            <w:vAlign w:val="bottom"/>
            <w:tcBorders>
              <w:bottom w:val="single" w:sz="8" w:color="CCEEFF"/>
              <w:right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65"/>
        </w:trPr>
        <w:tc>
          <w:tcPr>
            <w:tcW w:w="3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495,300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CCEEFF"/>
              <w:right w:val="single" w:sz="8" w:color="auto"/>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549,339</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11260"/>
          </w:cols>
          <w:pgMar w:left="300" w:top="535"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6"/>
          <w:szCs w:val="16"/>
          <w:color w:val="auto"/>
        </w:rPr>
        <w:t>A reconciliation of the provision (benefit) for income taxes with amounts determined by applying the statutory U.S. federal income tax rate to income before income taxes is as follows:</w:t>
      </w:r>
    </w:p>
    <w:p>
      <w:pPr>
        <w:spacing w:after="0" w:line="200" w:lineRule="exact"/>
        <w:rPr>
          <w:sz w:val="20"/>
          <w:szCs w:val="20"/>
          <w:color w:val="auto"/>
        </w:rPr>
      </w:pPr>
    </w:p>
    <w:p>
      <w:pPr>
        <w:spacing w:after="0" w:line="294" w:lineRule="exact"/>
        <w:rPr>
          <w:sz w:val="20"/>
          <w:szCs w:val="20"/>
          <w:color w:val="auto"/>
        </w:rPr>
      </w:pPr>
    </w:p>
    <w:tbl>
      <w:tblPr>
        <w:tblLayout w:type="fixed"/>
        <w:tblInd w:w="1600" w:type="dxa"/>
        <w:tblCellMar>
          <w:top w:w="0" w:type="dxa"/>
          <w:left w:w="0" w:type="dxa"/>
          <w:bottom w:w="0" w:type="dxa"/>
          <w:right w:w="0" w:type="dxa"/>
        </w:tblCellMar>
      </w:tblPr>
      <w:tr>
        <w:trPr>
          <w:trHeight w:val="213"/>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gridSpan w:val="5"/>
          </w:tcPr>
          <w:p>
            <w:pPr>
              <w:ind w:left="1120"/>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40" w:type="dxa"/>
            <w:vAlign w:val="bottom"/>
          </w:tcPr>
          <w:p>
            <w:pPr>
              <w:spacing w:after="0"/>
              <w:rPr>
                <w:sz w:val="18"/>
                <w:szCs w:val="18"/>
                <w:color w:val="auto"/>
              </w:rPr>
            </w:pPr>
          </w:p>
        </w:tc>
        <w:tc>
          <w:tcPr>
            <w:tcW w:w="13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0" w:type="dxa"/>
            <w:vAlign w:val="bottom"/>
          </w:tcPr>
          <w:p>
            <w:pPr>
              <w:spacing w:after="0"/>
              <w:rPr>
                <w:sz w:val="1"/>
                <w:szCs w:val="1"/>
                <w:color w:val="auto"/>
              </w:rPr>
            </w:pPr>
          </w:p>
        </w:tc>
      </w:tr>
      <w:tr>
        <w:trPr>
          <w:trHeight w:val="37"/>
        </w:trPr>
        <w:tc>
          <w:tcPr>
            <w:tcW w:w="33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9"/>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40" w:type="dxa"/>
            <w:vAlign w:val="bottom"/>
          </w:tcPr>
          <w:p>
            <w:pPr>
              <w:spacing w:after="0"/>
              <w:rPr>
                <w:sz w:val="24"/>
                <w:szCs w:val="24"/>
                <w:color w:val="auto"/>
              </w:rPr>
            </w:pPr>
          </w:p>
        </w:tc>
        <w:tc>
          <w:tcPr>
            <w:tcW w:w="13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0" w:type="dxa"/>
            <w:vAlign w:val="bottom"/>
          </w:tcPr>
          <w:p>
            <w:pPr>
              <w:spacing w:after="0"/>
              <w:rPr>
                <w:sz w:val="1"/>
                <w:szCs w:val="1"/>
                <w:color w:val="auto"/>
              </w:rPr>
            </w:pPr>
          </w:p>
        </w:tc>
      </w:tr>
      <w:tr>
        <w:trPr>
          <w:trHeight w:val="219"/>
        </w:trPr>
        <w:tc>
          <w:tcPr>
            <w:tcW w:w="3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21, 2022</w:t>
            </w:r>
          </w:p>
        </w:tc>
        <w:tc>
          <w:tcPr>
            <w:tcW w:w="140" w:type="dxa"/>
            <w:vAlign w:val="bottom"/>
          </w:tcPr>
          <w:p>
            <w:pPr>
              <w:spacing w:after="0"/>
              <w:rPr>
                <w:sz w:val="19"/>
                <w:szCs w:val="19"/>
                <w:color w:val="auto"/>
              </w:rPr>
            </w:pPr>
          </w:p>
        </w:tc>
        <w:tc>
          <w:tcPr>
            <w:tcW w:w="13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0" w:type="dxa"/>
            <w:vAlign w:val="bottom"/>
          </w:tcPr>
          <w:p>
            <w:pPr>
              <w:spacing w:after="0"/>
              <w:rPr>
                <w:sz w:val="1"/>
                <w:szCs w:val="1"/>
                <w:color w:val="auto"/>
              </w:rPr>
            </w:pPr>
          </w:p>
        </w:tc>
      </w:tr>
      <w:tr>
        <w:trPr>
          <w:trHeight w:val="214"/>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to December 31,</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through December</w:t>
            </w:r>
          </w:p>
        </w:tc>
        <w:tc>
          <w:tcPr>
            <w:tcW w:w="0" w:type="dxa"/>
            <w:vAlign w:val="bottom"/>
          </w:tcPr>
          <w:p>
            <w:pPr>
              <w:spacing w:after="0"/>
              <w:rPr>
                <w:sz w:val="1"/>
                <w:szCs w:val="1"/>
                <w:color w:val="auto"/>
              </w:rPr>
            </w:pPr>
          </w:p>
        </w:tc>
      </w:tr>
      <w:tr>
        <w:trPr>
          <w:trHeight w:val="225"/>
        </w:trPr>
        <w:tc>
          <w:tcPr>
            <w:tcW w:w="3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Pr>
          <w:p>
            <w:pPr>
              <w:spacing w:after="0"/>
              <w:rPr>
                <w:sz w:val="19"/>
                <w:szCs w:val="19"/>
                <w:color w:val="auto"/>
              </w:rPr>
            </w:pPr>
          </w:p>
        </w:tc>
        <w:tc>
          <w:tcPr>
            <w:tcW w:w="13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20, 2022</w:t>
            </w:r>
          </w:p>
        </w:tc>
        <w:tc>
          <w:tcPr>
            <w:tcW w:w="0" w:type="dxa"/>
            <w:vAlign w:val="bottom"/>
          </w:tcPr>
          <w:p>
            <w:pPr>
              <w:spacing w:after="0"/>
              <w:rPr>
                <w:sz w:val="1"/>
                <w:szCs w:val="1"/>
                <w:color w:val="auto"/>
              </w:rPr>
            </w:pPr>
          </w:p>
        </w:tc>
      </w:tr>
      <w:tr>
        <w:trPr>
          <w:trHeight w:val="25"/>
        </w:trPr>
        <w:tc>
          <w:tcPr>
            <w:tcW w:w="3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Computed tax at the federal statutory rate of 21%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(13,846,118)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(2,437,344)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(8,279,034)</w:t>
            </w:r>
          </w:p>
        </w:tc>
        <w:tc>
          <w:tcPr>
            <w:tcW w:w="0" w:type="dxa"/>
            <w:vAlign w:val="bottom"/>
          </w:tcPr>
          <w:p>
            <w:pPr>
              <w:spacing w:after="0"/>
              <w:rPr>
                <w:sz w:val="1"/>
                <w:szCs w:val="1"/>
                <w:color w:val="auto"/>
              </w:rPr>
            </w:pPr>
          </w:p>
        </w:tc>
      </w:tr>
      <w:tr>
        <w:trPr>
          <w:trHeight w:val="231"/>
        </w:trPr>
        <w:tc>
          <w:tcPr>
            <w:tcW w:w="3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State taxes</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203,043</w:t>
            </w:r>
          </w:p>
        </w:tc>
        <w:tc>
          <w:tcPr>
            <w:tcW w:w="0" w:type="dxa"/>
            <w:vAlign w:val="bottom"/>
          </w:tcPr>
          <w:p>
            <w:pPr>
              <w:spacing w:after="0"/>
              <w:rPr>
                <w:sz w:val="1"/>
                <w:szCs w:val="1"/>
                <w:color w:val="auto"/>
              </w:rPr>
            </w:pPr>
          </w:p>
        </w:tc>
      </w:tr>
      <w:tr>
        <w:trPr>
          <w:trHeight w:val="37"/>
        </w:trPr>
        <w:tc>
          <w:tcPr>
            <w:tcW w:w="3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3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Foreign rate differential</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2,718,248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1,694,224</w:t>
            </w:r>
          </w:p>
        </w:tc>
        <w:tc>
          <w:tcPr>
            <w:tcW w:w="0" w:type="dxa"/>
            <w:vAlign w:val="bottom"/>
          </w:tcPr>
          <w:p>
            <w:pPr>
              <w:spacing w:after="0"/>
              <w:rPr>
                <w:sz w:val="1"/>
                <w:szCs w:val="1"/>
                <w:color w:val="auto"/>
              </w:rPr>
            </w:pPr>
          </w:p>
        </w:tc>
      </w:tr>
      <w:tr>
        <w:trPr>
          <w:trHeight w:val="231"/>
        </w:trPr>
        <w:tc>
          <w:tcPr>
            <w:tcW w:w="3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Non-deductible expenses</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1,575,797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180,203</w:t>
            </w:r>
          </w:p>
        </w:tc>
        <w:tc>
          <w:tcPr>
            <w:tcW w:w="0" w:type="dxa"/>
            <w:vAlign w:val="bottom"/>
          </w:tcPr>
          <w:p>
            <w:pPr>
              <w:spacing w:after="0"/>
              <w:rPr>
                <w:sz w:val="1"/>
                <w:szCs w:val="1"/>
                <w:color w:val="auto"/>
              </w:rPr>
            </w:pPr>
          </w:p>
        </w:tc>
      </w:tr>
      <w:tr>
        <w:trPr>
          <w:trHeight w:val="37"/>
        </w:trPr>
        <w:tc>
          <w:tcPr>
            <w:tcW w:w="3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3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Valuation allowance and other</w:t>
            </w:r>
          </w:p>
        </w:tc>
        <w:tc>
          <w:tcPr>
            <w:tcW w:w="100" w:type="dxa"/>
            <w:vAlign w:val="bottom"/>
            <w:shd w:val="clear" w:color="auto" w:fill="CCEEFF"/>
          </w:tcPr>
          <w:p>
            <w:pPr>
              <w:spacing w:after="0"/>
              <w:rPr>
                <w:sz w:val="20"/>
                <w:szCs w:val="20"/>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11,562,203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925,431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6,750,903</w:t>
            </w:r>
          </w:p>
        </w:tc>
        <w:tc>
          <w:tcPr>
            <w:tcW w:w="0" w:type="dxa"/>
            <w:vAlign w:val="bottom"/>
          </w:tcPr>
          <w:p>
            <w:pPr>
              <w:spacing w:after="0"/>
              <w:rPr>
                <w:sz w:val="1"/>
                <w:szCs w:val="1"/>
                <w:color w:val="auto"/>
              </w:rPr>
            </w:pPr>
          </w:p>
        </w:tc>
      </w:tr>
      <w:tr>
        <w:trPr>
          <w:trHeight w:val="61"/>
        </w:trPr>
        <w:tc>
          <w:tcPr>
            <w:tcW w:w="3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334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142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136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136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495,300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549,339</w:t>
            </w:r>
          </w:p>
        </w:tc>
        <w:tc>
          <w:tcPr>
            <w:tcW w:w="0" w:type="dxa"/>
            <w:vAlign w:val="bottom"/>
          </w:tcPr>
          <w:p>
            <w:pPr>
              <w:spacing w:after="0"/>
              <w:rPr>
                <w:sz w:val="1"/>
                <w:szCs w:val="1"/>
                <w:color w:val="auto"/>
              </w:rPr>
            </w:pPr>
          </w:p>
        </w:tc>
      </w:tr>
      <w:tr>
        <w:trPr>
          <w:trHeight w:val="77"/>
        </w:trPr>
        <w:tc>
          <w:tcPr>
            <w:tcW w:w="33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340" w:type="dxa"/>
            <w:vAlign w:val="bottom"/>
          </w:tcPr>
          <w:p>
            <w:pPr>
              <w:ind w:left="60"/>
              <w:spacing w:after="0"/>
              <w:rPr>
                <w:sz w:val="20"/>
                <w:szCs w:val="20"/>
                <w:color w:val="auto"/>
              </w:rPr>
            </w:pPr>
            <w:r>
              <w:rPr>
                <w:rFonts w:ascii="Times New Roman" w:cs="Times New Roman" w:eastAsia="Times New Roman" w:hAnsi="Times New Roman"/>
                <w:sz w:val="16"/>
                <w:szCs w:val="16"/>
                <w:color w:val="292929"/>
              </w:rPr>
              <w:t>Effective income tax rate</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292929"/>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292929"/>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292929"/>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both"/>
        <w:ind w:hanging="7"/>
        <w:spacing w:after="0" w:line="266" w:lineRule="auto"/>
        <w:rPr>
          <w:sz w:val="20"/>
          <w:szCs w:val="20"/>
          <w:color w:val="auto"/>
        </w:rPr>
      </w:pPr>
      <w:r>
        <w:rPr>
          <w:rFonts w:ascii="Times New Roman" w:cs="Times New Roman" w:eastAsia="Times New Roman" w:hAnsi="Times New Roman"/>
          <w:sz w:val="16"/>
          <w:szCs w:val="16"/>
          <w:color w:val="auto"/>
        </w:rPr>
        <w:t>The difference between the federal statutory rate of 21% and the Successor’s effective tax rate for the year ended December 31, 2023, is primarily due to an increase in the valuation allowance. The difference between the federal statutory rate of 21% and the Successor’s effective tax rate for the period from December 21, 2022 to December 31, 2022 is primarily due certain permanent differences relating to transaction costs related to the Amelia Business Combination. The difference between the federal statutory rate of 21% and the Predecessor’s effective tax rate for the period from January 1, 2022 to December 20, 2022 is primarily due and an increase in the valuation allowance.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11240"/>
          </w:cols>
          <w:pgMar w:left="320" w:top="536"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hanging="7"/>
        <w:spacing w:after="0" w:line="266" w:lineRule="auto"/>
        <w:rPr>
          <w:sz w:val="20"/>
          <w:szCs w:val="20"/>
          <w:color w:val="auto"/>
        </w:rPr>
      </w:pPr>
      <w:r>
        <w:rPr>
          <w:rFonts w:ascii="Times New Roman" w:cs="Times New Roman" w:eastAsia="Times New Roman" w:hAnsi="Times New Roman"/>
          <w:sz w:val="16"/>
          <w:szCs w:val="16"/>
          <w:color w:val="auto"/>
        </w:rPr>
        <w:t>Deferred tax assets and liabilities are recognized for the expected future taxation of events that have been reflected in the Consolidated Financial Statements. Deferred tax assets and liabilities are determined based on the differences between the financial statement carrying amounts and the tax bases of reported assets and liabilities using tax rates in effect for the years in which the differences are expected to reverse. The tax effects of temporary differences that comprise the deferred income tax amounts shown on the consolidated balance sheet are as follows for the years ended December 31:</w:t>
      </w:r>
    </w:p>
    <w:p>
      <w:pPr>
        <w:spacing w:after="0" w:line="243" w:lineRule="exact"/>
        <w:rPr>
          <w:sz w:val="20"/>
          <w:szCs w:val="20"/>
          <w:color w:val="auto"/>
        </w:rPr>
      </w:pPr>
    </w:p>
    <w:tbl>
      <w:tblPr>
        <w:tblLayout w:type="fixed"/>
        <w:tblInd w:w="160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000" w:type="dxa"/>
            <w:vAlign w:val="bottom"/>
          </w:tcPr>
          <w:p>
            <w:pPr>
              <w:spacing w:after="0"/>
              <w:rPr>
                <w:sz w:val="18"/>
                <w:szCs w:val="18"/>
                <w:color w:val="auto"/>
              </w:rPr>
            </w:pPr>
          </w:p>
        </w:tc>
      </w:tr>
      <w:tr>
        <w:trPr>
          <w:trHeight w:val="171"/>
        </w:trPr>
        <w:tc>
          <w:tcPr>
            <w:tcW w:w="49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223"/>
        </w:trPr>
        <w:tc>
          <w:tcPr>
            <w:tcW w:w="4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0" w:type="dxa"/>
            <w:vAlign w:val="bottom"/>
          </w:tcPr>
          <w:p>
            <w:pPr>
              <w:spacing w:after="0"/>
              <w:rPr>
                <w:sz w:val="19"/>
                <w:szCs w:val="19"/>
                <w:color w:val="auto"/>
              </w:rPr>
            </w:pPr>
          </w:p>
        </w:tc>
      </w:tr>
      <w:tr>
        <w:trPr>
          <w:trHeight w:val="37"/>
        </w:trPr>
        <w:tc>
          <w:tcPr>
            <w:tcW w:w="49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3"/>
        </w:trPr>
        <w:tc>
          <w:tcPr>
            <w:tcW w:w="4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7"/>
        </w:trPr>
        <w:tc>
          <w:tcPr>
            <w:tcW w:w="49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16"/>
        </w:trPr>
        <w:tc>
          <w:tcPr>
            <w:tcW w:w="4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tax assets: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231"/>
        </w:trPr>
        <w:tc>
          <w:tcPr>
            <w:tcW w:w="4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operating losses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11,105,482</w:t>
            </w:r>
          </w:p>
        </w:tc>
        <w:tc>
          <w:tcPr>
            <w:tcW w:w="10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5,682,559</w:t>
            </w:r>
          </w:p>
        </w:tc>
      </w:tr>
      <w:tr>
        <w:trPr>
          <w:trHeight w:val="37"/>
        </w:trPr>
        <w:tc>
          <w:tcPr>
            <w:tcW w:w="4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6"/>
        </w:trPr>
        <w:tc>
          <w:tcPr>
            <w:tcW w:w="4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 credit carryforwards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102,045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4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8,764,060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10,016,093</w:t>
            </w:r>
          </w:p>
        </w:tc>
      </w:tr>
      <w:tr>
        <w:trPr>
          <w:trHeight w:val="25"/>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6"/>
        </w:trPr>
        <w:tc>
          <w:tcPr>
            <w:tcW w:w="4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Fixed 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1,978,364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2,127,448</w:t>
            </w:r>
          </w:p>
        </w:tc>
      </w:tr>
      <w:tr>
        <w:trPr>
          <w:trHeight w:val="231"/>
        </w:trPr>
        <w:tc>
          <w:tcPr>
            <w:tcW w:w="4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Capitalized R&amp;D costs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1,692,659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125,659</w:t>
            </w:r>
          </w:p>
        </w:tc>
      </w:tr>
      <w:tr>
        <w:trPr>
          <w:trHeight w:val="25"/>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2"/>
        </w:trPr>
        <w:tc>
          <w:tcPr>
            <w:tcW w:w="4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3,873,444</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536,652</w:t>
            </w:r>
          </w:p>
        </w:tc>
      </w:tr>
      <w:tr>
        <w:trPr>
          <w:trHeight w:val="211"/>
        </w:trPr>
        <w:tc>
          <w:tcPr>
            <w:tcW w:w="4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6,014,429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1,518,498</w:t>
            </w:r>
          </w:p>
        </w:tc>
      </w:tr>
      <w:tr>
        <w:trPr>
          <w:trHeight w:val="21"/>
        </w:trPr>
        <w:tc>
          <w:tcPr>
            <w:tcW w:w="4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6"/>
        </w:trPr>
        <w:tc>
          <w:tcPr>
            <w:tcW w:w="4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33,530,484</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20,006,909</w:t>
            </w:r>
          </w:p>
        </w:tc>
      </w:tr>
      <w:tr>
        <w:trPr>
          <w:trHeight w:val="219"/>
        </w:trPr>
        <w:tc>
          <w:tcPr>
            <w:tcW w:w="4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valuation allowance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(27,574,672)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(14,229,074)</w:t>
            </w:r>
          </w:p>
        </w:tc>
      </w:tr>
      <w:tr>
        <w:trPr>
          <w:trHeight w:val="37"/>
        </w:trPr>
        <w:tc>
          <w:tcPr>
            <w:tcW w:w="49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6"/>
        </w:trPr>
        <w:tc>
          <w:tcPr>
            <w:tcW w:w="4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tax asset, net of valuation allowance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5,955,812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5,777,835</w:t>
            </w:r>
          </w:p>
        </w:tc>
      </w:tr>
      <w:tr>
        <w:trPr>
          <w:trHeight w:val="163"/>
        </w:trPr>
        <w:tc>
          <w:tcPr>
            <w:tcW w:w="49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r>
      <w:tr>
        <w:trPr>
          <w:trHeight w:val="455"/>
        </w:trPr>
        <w:tc>
          <w:tcPr>
            <w:tcW w:w="4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tax liabilities:</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r>
      <w:tr>
        <w:trPr>
          <w:trHeight w:val="211"/>
        </w:trPr>
        <w:tc>
          <w:tcPr>
            <w:tcW w:w="4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Reserves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(933,064)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(778,942)</w:t>
            </w:r>
          </w:p>
        </w:tc>
      </w:tr>
      <w:tr>
        <w:trPr>
          <w:trHeight w:val="21"/>
        </w:trPr>
        <w:tc>
          <w:tcPr>
            <w:tcW w:w="4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2"/>
        </w:trPr>
        <w:tc>
          <w:tcPr>
            <w:tcW w:w="4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Intangibles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(17,740,409)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(17,200,484)</w:t>
            </w:r>
          </w:p>
        </w:tc>
      </w:tr>
      <w:tr>
        <w:trPr>
          <w:trHeight w:val="203"/>
        </w:trPr>
        <w:tc>
          <w:tcPr>
            <w:tcW w:w="4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(18,673,474)</w:t>
            </w: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(17,979,426)</w:t>
            </w:r>
          </w:p>
        </w:tc>
      </w:tr>
      <w:tr>
        <w:trPr>
          <w:trHeight w:val="33"/>
        </w:trPr>
        <w:tc>
          <w:tcPr>
            <w:tcW w:w="4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2"/>
        </w:trPr>
        <w:tc>
          <w:tcPr>
            <w:tcW w:w="4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deferred tax liability</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(12,717,662)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(12,201,591)</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jc w:val="both"/>
        <w:ind w:hanging="7"/>
        <w:spacing w:after="0" w:line="261" w:lineRule="auto"/>
        <w:rPr>
          <w:sz w:val="20"/>
          <w:szCs w:val="20"/>
          <w:color w:val="auto"/>
        </w:rPr>
      </w:pPr>
      <w:r>
        <w:rPr>
          <w:rFonts w:ascii="Times New Roman" w:cs="Times New Roman" w:eastAsia="Times New Roman" w:hAnsi="Times New Roman"/>
          <w:sz w:val="16"/>
          <w:szCs w:val="16"/>
          <w:color w:val="auto"/>
        </w:rPr>
        <w:t>In assessing the realizability of deferred tax assets, management considers whether it is more-likely-than not that some portion or all of the deferred tax assets will be realized. The ultimate realization of deferred tax assets is dependent upon the generation of future taxable income in those periods in which temporary differences become deductible and/or net operating loss carryforwards can be utilized. We consider the level of historical taxable income, scheduled reversal of temporary differences, tax planning strategies and projected future taxable income in determining whether a valuation allowance is warranted. Significant weight is given to positive and negative evidence that is objectively verifiable. The Company evaluates the realizability of deferred tax assets on a jurisdictional basis at each reporting date. The Company’s valuation allowance increased by $13,345,597 for the year ended December 31, 2023.</w:t>
      </w:r>
    </w:p>
    <w:p>
      <w:pPr>
        <w:spacing w:after="0" w:line="189" w:lineRule="exact"/>
        <w:rPr>
          <w:sz w:val="20"/>
          <w:szCs w:val="20"/>
          <w:color w:val="auto"/>
        </w:rPr>
      </w:pPr>
    </w:p>
    <w:p>
      <w:pPr>
        <w:jc w:val="both"/>
        <w:ind w:hanging="7"/>
        <w:spacing w:after="0" w:line="266" w:lineRule="auto"/>
        <w:rPr>
          <w:sz w:val="20"/>
          <w:szCs w:val="20"/>
          <w:color w:val="auto"/>
        </w:rPr>
      </w:pPr>
      <w:r>
        <w:rPr>
          <w:rFonts w:ascii="Times New Roman" w:cs="Times New Roman" w:eastAsia="Times New Roman" w:hAnsi="Times New Roman"/>
          <w:sz w:val="16"/>
          <w:szCs w:val="16"/>
          <w:color w:val="auto"/>
        </w:rPr>
        <w:t>As of December 31, 2023, the Company has U.S. federal and state gross operating losses of $48.7 million and foreign gross operating losses of $95.7 million. As of December 31, 2022, the Company has U.S. federal and state gross operating losses of $5.5 million and foreign gross operating losses of $93.7 million. The U.S federal net operating losses have an indefinite carryforward period. The Company has various foreign net operating loss carryforwards and state net operating loss carryforwards that expire in various years beginning in tax year 2030.</w:t>
      </w:r>
    </w:p>
    <w:p>
      <w:pPr>
        <w:spacing w:after="0" w:line="172" w:lineRule="exact"/>
        <w:rPr>
          <w:sz w:val="20"/>
          <w:szCs w:val="20"/>
          <w:color w:val="auto"/>
        </w:rPr>
      </w:pPr>
    </w:p>
    <w:p>
      <w:pPr>
        <w:jc w:val="both"/>
        <w:ind w:hanging="7"/>
        <w:spacing w:after="0" w:line="289" w:lineRule="auto"/>
        <w:rPr>
          <w:sz w:val="20"/>
          <w:szCs w:val="20"/>
          <w:color w:val="auto"/>
        </w:rPr>
      </w:pPr>
      <w:r>
        <w:rPr>
          <w:rFonts w:ascii="Times New Roman" w:cs="Times New Roman" w:eastAsia="Times New Roman" w:hAnsi="Times New Roman"/>
          <w:sz w:val="16"/>
          <w:szCs w:val="16"/>
          <w:color w:val="auto"/>
        </w:rPr>
        <w:t>As of December 31, 2023, and 2022 (Successor), there were recorded uncertain tax positions of $18.7 million and $18.7 million, respectively primarily related to an internal global restructuring that was effectuated in 2021. These unrecognized tax benefits, if recognized, would not affect the effective tax rate.</w:t>
      </w:r>
    </w:p>
    <w:p>
      <w:pPr>
        <w:spacing w:after="0" w:line="166" w:lineRule="exact"/>
        <w:rPr>
          <w:sz w:val="20"/>
          <w:szCs w:val="20"/>
          <w:color w:val="auto"/>
        </w:rPr>
      </w:pPr>
    </w:p>
    <w:p>
      <w:pPr>
        <w:jc w:val="both"/>
        <w:ind w:hanging="7"/>
        <w:spacing w:after="0" w:line="289" w:lineRule="auto"/>
        <w:rPr>
          <w:sz w:val="20"/>
          <w:szCs w:val="20"/>
          <w:color w:val="auto"/>
        </w:rPr>
      </w:pPr>
      <w:r>
        <w:rPr>
          <w:rFonts w:ascii="Times New Roman" w:cs="Times New Roman" w:eastAsia="Times New Roman" w:hAnsi="Times New Roman"/>
          <w:sz w:val="16"/>
          <w:szCs w:val="16"/>
          <w:color w:val="auto"/>
        </w:rPr>
        <w:t>The Predecessor’s results are included in tax returns filed by the Predecessor Parent in the United States and various state and foreign jurisdictions with varying statute of limitations. Various domestic and foreign tax years remain open for examination by tax authorities.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11240"/>
          </w:cols>
          <w:pgMar w:left="320" w:top="536"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jurisdictions are currently under audit by the IRS, state, or foreign authorities.</w:t>
      </w:r>
    </w:p>
    <w:p>
      <w:pPr>
        <w:spacing w:after="0" w:line="231" w:lineRule="exact"/>
        <w:rPr>
          <w:sz w:val="20"/>
          <w:szCs w:val="20"/>
          <w:color w:val="auto"/>
        </w:rPr>
      </w:pPr>
    </w:p>
    <w:p>
      <w:pPr>
        <w:jc w:val="both"/>
        <w:ind w:left="20" w:right="20" w:hanging="7"/>
        <w:spacing w:after="0" w:line="271" w:lineRule="auto"/>
        <w:rPr>
          <w:sz w:val="20"/>
          <w:szCs w:val="20"/>
          <w:color w:val="auto"/>
        </w:rPr>
      </w:pPr>
      <w:r>
        <w:rPr>
          <w:rFonts w:ascii="Times New Roman" w:cs="Times New Roman" w:eastAsia="Times New Roman" w:hAnsi="Times New Roman"/>
          <w:sz w:val="16"/>
          <w:szCs w:val="16"/>
          <w:color w:val="auto"/>
        </w:rPr>
        <w:t>U.S. income tax has not been recognized on the excess of the amount for financial reporting over the basis of investments in foreign subsidiaries that is reinvested outside the United States. This amount becomes taxable upon a repatriation of assets from the subsidiary of a sale or liquidation of the subsidiary. Determination of the amount of any unrecognized deferred income tax liability on the temporary differences is not practicable because of the complexities of the hypothetical calculation.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COMMITMENTS AND CONTINGENCIES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Litigation and Legal Proceedings</w:t>
      </w:r>
    </w:p>
    <w:p>
      <w:pPr>
        <w:spacing w:after="0" w:line="220" w:lineRule="exact"/>
        <w:rPr>
          <w:sz w:val="20"/>
          <w:szCs w:val="20"/>
          <w:color w:val="auto"/>
        </w:rPr>
      </w:pPr>
    </w:p>
    <w:p>
      <w:pPr>
        <w:jc w:val="both"/>
        <w:ind w:left="20" w:right="20" w:hanging="7"/>
        <w:spacing w:after="0" w:line="263" w:lineRule="auto"/>
        <w:rPr>
          <w:sz w:val="20"/>
          <w:szCs w:val="20"/>
          <w:color w:val="auto"/>
        </w:rPr>
      </w:pPr>
      <w:r>
        <w:rPr>
          <w:rFonts w:ascii="Times New Roman" w:cs="Times New Roman" w:eastAsia="Times New Roman" w:hAnsi="Times New Roman"/>
          <w:sz w:val="16"/>
          <w:szCs w:val="16"/>
          <w:color w:val="auto"/>
        </w:rPr>
        <w:t>The Company accrues contingent liabilities, including estimated legal costs, when the obligation is probable, and the amount is reasonably estimable. As facts concerning contingencies become known, the Company reassesses its position and makes appropriate adjustments to the consolidated financial statements. Estimates that are particularly sensitive to future changes include those related to tax, legal and other regulatory matters, changes in interpretation and enforcement of international laws, and the impact of local economic conditions and practices, which are all subject to change as events evolve and as additional information becomes available during the administrative and litigation process.</w:t>
      </w:r>
    </w:p>
    <w:p>
      <w:pPr>
        <w:spacing w:after="0" w:line="187" w:lineRule="exact"/>
        <w:rPr>
          <w:sz w:val="20"/>
          <w:szCs w:val="20"/>
          <w:color w:val="auto"/>
        </w:rPr>
      </w:pPr>
    </w:p>
    <w:p>
      <w:pPr>
        <w:jc w:val="both"/>
        <w:ind w:left="20" w:right="20" w:hanging="7"/>
        <w:spacing w:after="0" w:line="266" w:lineRule="auto"/>
        <w:rPr>
          <w:sz w:val="20"/>
          <w:szCs w:val="20"/>
          <w:color w:val="auto"/>
        </w:rPr>
      </w:pPr>
      <w:r>
        <w:rPr>
          <w:rFonts w:ascii="Times New Roman" w:cs="Times New Roman" w:eastAsia="Times New Roman" w:hAnsi="Times New Roman"/>
          <w:sz w:val="16"/>
          <w:szCs w:val="16"/>
          <w:color w:val="auto"/>
        </w:rPr>
        <w:t>As of December 31, 2023, the Company was involved in litigation arising in the normal course of business that is pending. The results of the proceedings are not expected to have a material adverse effect on the Company’s consolidated financial position or results of operations and comprehensive loss. Actual outcomes of these legal and regulatory proceedings may differ materially from our current estimates. It is possible that resolution of one or more of the legal matters currently pending or threatened could result in losses material to our consolidated results of operations, liquidity, or financial condition.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Warranties</w:t>
      </w:r>
    </w:p>
    <w:p>
      <w:pPr>
        <w:spacing w:after="0" w:line="220" w:lineRule="exact"/>
        <w:rPr>
          <w:sz w:val="20"/>
          <w:szCs w:val="20"/>
          <w:color w:val="auto"/>
        </w:rPr>
      </w:pPr>
    </w:p>
    <w:p>
      <w:pPr>
        <w:jc w:val="both"/>
        <w:ind w:left="20" w:right="20" w:hanging="7"/>
        <w:spacing w:after="0" w:line="271" w:lineRule="auto"/>
        <w:rPr>
          <w:sz w:val="20"/>
          <w:szCs w:val="20"/>
          <w:color w:val="auto"/>
        </w:rPr>
      </w:pPr>
      <w:r>
        <w:rPr>
          <w:rFonts w:ascii="Times New Roman" w:cs="Times New Roman" w:eastAsia="Times New Roman" w:hAnsi="Times New Roman"/>
          <w:sz w:val="16"/>
          <w:szCs w:val="16"/>
          <w:color w:val="auto"/>
        </w:rPr>
        <w:t>The Company’s offerings come with a warranty to perform in a manner consistent with general industry standards. We establish an accrual based on an evaluation of the known service disruptions. To date, the Company has not incurred material costs because of its warranties. There are no accrued liabilities related to these obligations on the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RELATED-PARTY TRANSACTIONS</w:t>
      </w:r>
    </w:p>
    <w:p>
      <w:pPr>
        <w:spacing w:after="0" w:line="220" w:lineRule="exact"/>
        <w:rPr>
          <w:sz w:val="20"/>
          <w:szCs w:val="20"/>
          <w:color w:val="auto"/>
        </w:rPr>
      </w:pPr>
    </w:p>
    <w:p>
      <w:pPr>
        <w:jc w:val="both"/>
        <w:ind w:left="20" w:hanging="7"/>
        <w:spacing w:after="0" w:line="271" w:lineRule="auto"/>
        <w:rPr>
          <w:sz w:val="20"/>
          <w:szCs w:val="20"/>
          <w:color w:val="auto"/>
        </w:rPr>
      </w:pPr>
      <w:r>
        <w:rPr>
          <w:rFonts w:ascii="Times New Roman" w:cs="Times New Roman" w:eastAsia="Times New Roman" w:hAnsi="Times New Roman"/>
          <w:sz w:val="16"/>
          <w:szCs w:val="16"/>
          <w:color w:val="auto"/>
        </w:rPr>
        <w:t>During the Predecessor period from January 1 through December 20, 2022, the Company incurred $1.4 million of costs on behalf of a company controlled by the Class B stockholder (Predecessor Parent) for hosting corporate functions, organizing staff events, and providing serviced apartments. During the year ended December 31, 2023 (Successor Period) and for the Successor Period from December 21, 2022 through December 31, 2022, none of these costs were incurred.</w:t>
      </w:r>
    </w:p>
    <w:p>
      <w:pPr>
        <w:spacing w:after="0" w:line="181" w:lineRule="exact"/>
        <w:rPr>
          <w:sz w:val="20"/>
          <w:szCs w:val="20"/>
          <w:color w:val="auto"/>
        </w:rPr>
      </w:pPr>
    </w:p>
    <w:p>
      <w:pPr>
        <w:jc w:val="both"/>
        <w:ind w:left="20" w:hanging="7"/>
        <w:spacing w:after="0" w:line="271" w:lineRule="auto"/>
        <w:rPr>
          <w:sz w:val="20"/>
          <w:szCs w:val="20"/>
          <w:color w:val="auto"/>
        </w:rPr>
      </w:pPr>
      <w:r>
        <w:rPr>
          <w:rFonts w:ascii="Times New Roman" w:cs="Times New Roman" w:eastAsia="Times New Roman" w:hAnsi="Times New Roman"/>
          <w:sz w:val="16"/>
          <w:szCs w:val="16"/>
          <w:color w:val="auto"/>
        </w:rPr>
        <w:t>During the Predecessor period from January 1 through December 20, 2022, the Company incurred $270 thousand of costs paid to entities owned by relatives of the Class B stockholder (Predecessor Parent) for commissions and advisory services in relation to the telecommunication industry. During the year ended December 31, 2023 (Successor period) and for the Successor Period from December 21, 2022 through December 31, 2022, none of these costs were incurred.</w:t>
      </w:r>
    </w:p>
    <w:p>
      <w:pPr>
        <w:spacing w:after="0" w:line="181" w:lineRule="exact"/>
        <w:rPr>
          <w:sz w:val="20"/>
          <w:szCs w:val="20"/>
          <w:color w:val="auto"/>
        </w:rPr>
      </w:pPr>
    </w:p>
    <w:p>
      <w:pPr>
        <w:jc w:val="both"/>
        <w:ind w:left="20" w:right="20" w:hanging="7"/>
        <w:spacing w:after="0" w:line="261" w:lineRule="auto"/>
        <w:rPr>
          <w:sz w:val="20"/>
          <w:szCs w:val="20"/>
          <w:color w:val="auto"/>
        </w:rPr>
      </w:pPr>
      <w:r>
        <w:rPr>
          <w:rFonts w:ascii="Times New Roman" w:cs="Times New Roman" w:eastAsia="Times New Roman" w:hAnsi="Times New Roman"/>
          <w:sz w:val="16"/>
          <w:szCs w:val="16"/>
          <w:color w:val="auto"/>
        </w:rPr>
        <w:t>In connection with the Amelia Business Combination, the Successor and Predecessor entities entered into a transition service agreement to support the provision by the Successor entity of customer support services within the United Kingdom and Germany as well as certain administrative services related to the collection of trade receivables on behalf of the Predecessor entity. During the Successor periods from December 21, 2022 through December 31, 2022 and January 1, 2023 through December 31, 2023 the Company incurred charges of $0 and $2.8 million, which are recorded within cost of revenues in the consolidated and combined statements of operations and comprehensive loss. As of December 31, 2023 and 2022, $1.4 million and $0, respectively, was accrued related to these activities and is presented as due to related party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1280"/>
          </w:cols>
          <w:pgMar w:left="300" w:top="536" w:right="31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Employee loans totaled $472 thousand and $359 thousand as of December 31, 2023 and 2022 (Successor), respectively, and were recorded within prepaid expenses and other current assets on the consolidated balance sheets.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FAIR VALUE MEASUREMENT</w:t>
      </w:r>
    </w:p>
    <w:p>
      <w:pPr>
        <w:spacing w:after="0" w:line="220"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At December 31, 2023 and 2022 (Successor), the Company held Level 1 financial assets related to treasury bills measured at fair value on a recurring basis of $10.1 million and zero, respectively. There were no Level 1 financial liabilities measured or disclosed at fair value on a recurring basis as of December 31, 2023 and 2022.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did not hold any Level 2 financial assets or liabilities that were measured or disclosed at fair value on a recurring basis as of December 31, 2023 and 2022.</w:t>
      </w:r>
    </w:p>
    <w:p>
      <w:pPr>
        <w:spacing w:after="0" w:line="218" w:lineRule="exact"/>
        <w:rPr>
          <w:sz w:val="20"/>
          <w:szCs w:val="20"/>
          <w:color w:val="auto"/>
        </w:rPr>
      </w:pPr>
    </w:p>
    <w:p>
      <w:pPr>
        <w:jc w:val="both"/>
        <w:ind w:left="20" w:right="20" w:hanging="7"/>
        <w:spacing w:after="0" w:line="271" w:lineRule="auto"/>
        <w:rPr>
          <w:sz w:val="20"/>
          <w:szCs w:val="20"/>
          <w:color w:val="auto"/>
        </w:rPr>
      </w:pPr>
      <w:r>
        <w:rPr>
          <w:rFonts w:ascii="Times New Roman" w:cs="Times New Roman" w:eastAsia="Times New Roman" w:hAnsi="Times New Roman"/>
          <w:sz w:val="16"/>
          <w:szCs w:val="16"/>
          <w:color w:val="auto"/>
        </w:rPr>
        <w:t>At December 31, 2023 and 2022 (Successor), the Company held Level 3 financial liabilities related to the CVR and warrant liabilities measured at fair value on a recurring basis of $14.3 million and $13.7 million, respectively. There were no Level 3 financial assets measured or disclosed at fair value on a recurring basis as of December 31, 2023 and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STOCKHOLDERS’ EQUITY AND PREFERRED STOCK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December 2022, the Company entered into a share purchase agreement as a result of which the authorized and issued capital of the Company consists 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Common Stock</w:t>
      </w:r>
    </w:p>
    <w:p>
      <w:pPr>
        <w:spacing w:after="0" w:line="233"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The Company is authorized to issue 253,933,170 shares of Common Stock, of which 153,933,170 shares have been designated Class A Common Stock, $0.001 par value per share, none of which are issued and outstanding as of December 31, 2023 and 2022.</w:t>
      </w:r>
    </w:p>
    <w:p>
      <w:pPr>
        <w:spacing w:after="0" w:line="166"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On December 21, 2022, 100,000,000 shares have been designated Class B Common Stock, $0.001 par value per share, 100,000,000 shares of which are issued and outstanding on December 31, 2023 and 2022, and are held by the Predecessor Parent.</w:t>
      </w:r>
    </w:p>
    <w:p>
      <w:pPr>
        <w:spacing w:after="0" w:line="154"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Shares of Class A Common Stock and Class B Common Stock have the same rights and powers, rank equally; provided that the voting, dividend and liquidation rights of the holders of the Common Stock are subject to and qualified by the rights, powers and preferences of the holders of the Preferred Stock, as described below.</w:t>
      </w:r>
    </w:p>
    <w:p>
      <w:pPr>
        <w:spacing w:after="0" w:line="191" w:lineRule="exact"/>
        <w:rPr>
          <w:sz w:val="20"/>
          <w:szCs w:val="20"/>
          <w:color w:val="auto"/>
        </w:rPr>
      </w:pPr>
    </w:p>
    <w:p>
      <w:pPr>
        <w:jc w:val="both"/>
        <w:ind w:left="20" w:right="20" w:hanging="7"/>
        <w:spacing w:after="0" w:line="368" w:lineRule="auto"/>
        <w:rPr>
          <w:sz w:val="20"/>
          <w:szCs w:val="20"/>
          <w:color w:val="auto"/>
        </w:rPr>
      </w:pPr>
      <w:r>
        <w:rPr>
          <w:rFonts w:ascii="Times New Roman" w:cs="Times New Roman" w:eastAsia="Times New Roman" w:hAnsi="Times New Roman"/>
          <w:sz w:val="16"/>
          <w:szCs w:val="16"/>
          <w:color w:val="auto"/>
        </w:rPr>
        <w:t>Each share of Class B Common Stock shall be automatically, without further action by the holder thereof, converted into one (1) fully paid and non-assessable share of Class A Common Stock, upon (i) the occurrence of a transfer of such share of Class B Common Stock or (ii) an initial public offering (“IPO”).</w:t>
      </w:r>
    </w:p>
    <w:p>
      <w:pPr>
        <w:spacing w:after="0" w:line="58" w:lineRule="exact"/>
        <w:rPr>
          <w:sz w:val="20"/>
          <w:szCs w:val="20"/>
          <w:color w:val="auto"/>
        </w:rPr>
      </w:pPr>
    </w:p>
    <w:p>
      <w:pPr>
        <w:jc w:val="both"/>
        <w:ind w:left="20" w:hanging="7"/>
        <w:spacing w:after="0" w:line="263" w:lineRule="auto"/>
        <w:rPr>
          <w:sz w:val="20"/>
          <w:szCs w:val="20"/>
          <w:color w:val="auto"/>
        </w:rPr>
      </w:pPr>
      <w:r>
        <w:rPr>
          <w:rFonts w:ascii="Times New Roman" w:cs="Times New Roman" w:eastAsia="Times New Roman" w:hAnsi="Times New Roman"/>
          <w:sz w:val="16"/>
          <w:szCs w:val="16"/>
          <w:color w:val="auto"/>
        </w:rPr>
        <w:t>As described in Note 1, the Common Stockholder has the right, but not the obligation, to redeem all shares of Senior Series A Preferred Stock held at a per share purchase price equal to the 175% of the applicable stated value then in effect with respect to such share of Series A Preferred Stock on the one-year anniversary of the issuance date (Common Stockholder Call Option). Pursuant to agreement the call option closing date shall occur no later than 90 days from the date of the call notice. The Common Stockholder exercised the call option at the one-year anniversary date and the closing failed to occur within the 90 day period and as such the call right of the Common Stockholder Call Option terminated on March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Preferred Stock</w:t>
      </w:r>
    </w:p>
    <w:p>
      <w:pPr>
        <w:spacing w:after="0" w:line="220" w:lineRule="exact"/>
        <w:rPr>
          <w:sz w:val="20"/>
          <w:szCs w:val="20"/>
          <w:color w:val="auto"/>
        </w:rPr>
      </w:pPr>
    </w:p>
    <w:p>
      <w:pPr>
        <w:jc w:val="both"/>
        <w:ind w:left="20" w:right="20" w:hanging="7"/>
        <w:spacing w:after="0" w:line="271" w:lineRule="auto"/>
        <w:rPr>
          <w:sz w:val="20"/>
          <w:szCs w:val="20"/>
          <w:color w:val="auto"/>
        </w:rPr>
      </w:pPr>
      <w:r>
        <w:rPr>
          <w:rFonts w:ascii="Times New Roman" w:cs="Times New Roman" w:eastAsia="Times New Roman" w:hAnsi="Times New Roman"/>
          <w:sz w:val="16"/>
          <w:szCs w:val="16"/>
          <w:color w:val="auto"/>
        </w:rPr>
        <w:t>The Company is authorized to issue 16,034,483 shares of Preferred Stock, of which 3,654,170 shares have been designated Series A-1 Preferred Stock, 4,126,771 shares have been designated Series A-2 Preferred Stock, 4,126,771 shares have been designated Series A-3 Preferred Stock (together, “Senior Series A Preferred Stock”) and 4,126,771 shares have been designated Series A-4 Preferred Stock, $0.001 par value per share. On December 21, 2022, 3,654,170 series A-1 Preferred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11280"/>
          </w:cols>
          <w:pgMar w:left="300" w:top="536" w:right="31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20" w:right="20"/>
        <w:spacing w:after="0" w:line="289" w:lineRule="auto"/>
        <w:rPr>
          <w:sz w:val="20"/>
          <w:szCs w:val="20"/>
          <w:color w:val="auto"/>
        </w:rPr>
      </w:pPr>
      <w:r>
        <w:rPr>
          <w:rFonts w:ascii="Times New Roman" w:cs="Times New Roman" w:eastAsia="Times New Roman" w:hAnsi="Times New Roman"/>
          <w:sz w:val="16"/>
          <w:szCs w:val="16"/>
          <w:color w:val="auto"/>
        </w:rPr>
        <w:t>Stock shares and 4,126,771 Series A-2 Preferred Stock shares were issued and are held by one shareholder (Build Group), which are outstanding at December 31, 2023 and 2022 (Successor). There are no shares of A-3 or A-4 Preferred Stock outstanding at December 31, 2023 and 2022 (Successor).</w:t>
      </w:r>
    </w:p>
    <w:p>
      <w:pPr>
        <w:spacing w:after="0" w:line="166" w:lineRule="exact"/>
        <w:rPr>
          <w:sz w:val="20"/>
          <w:szCs w:val="20"/>
          <w:color w:val="auto"/>
        </w:rPr>
      </w:pPr>
    </w:p>
    <w:p>
      <w:pPr>
        <w:jc w:val="both"/>
        <w:ind w:left="20" w:right="20" w:hanging="7"/>
        <w:spacing w:after="0" w:line="271" w:lineRule="auto"/>
        <w:rPr>
          <w:sz w:val="20"/>
          <w:szCs w:val="20"/>
          <w:color w:val="auto"/>
        </w:rPr>
      </w:pPr>
      <w:r>
        <w:rPr>
          <w:rFonts w:ascii="Times New Roman" w:cs="Times New Roman" w:eastAsia="Times New Roman" w:hAnsi="Times New Roman"/>
          <w:sz w:val="16"/>
          <w:szCs w:val="16"/>
          <w:color w:val="auto"/>
        </w:rPr>
        <w:t>The Series A-1 Preferred Stock shareholder has an option to purchase on the same terms and conditions up to $40.0 million in aggregate original issue price of additional shares of Series A-3 Preferred Stock provided that a Qualified Financing is consummated before June 30, 2023. No Qualified Financing Event occurred resulting in the expiration of this option.</w:t>
      </w:r>
    </w:p>
    <w:p>
      <w:pPr>
        <w:spacing w:after="0" w:line="169" w:lineRule="exact"/>
        <w:rPr>
          <w:sz w:val="20"/>
          <w:szCs w:val="20"/>
          <w:color w:val="auto"/>
        </w:rPr>
      </w:pPr>
    </w:p>
    <w:p>
      <w:pPr>
        <w:jc w:val="both"/>
        <w:ind w:left="20" w:right="20" w:hanging="7"/>
        <w:spacing w:after="0" w:line="263" w:lineRule="auto"/>
        <w:rPr>
          <w:sz w:val="20"/>
          <w:szCs w:val="20"/>
          <w:color w:val="auto"/>
        </w:rPr>
      </w:pPr>
      <w:r>
        <w:rPr>
          <w:rFonts w:ascii="Times New Roman" w:cs="Times New Roman" w:eastAsia="Times New Roman" w:hAnsi="Times New Roman"/>
          <w:sz w:val="16"/>
          <w:szCs w:val="16"/>
          <w:color w:val="auto"/>
        </w:rPr>
        <w:t>Preferred Stock shares are convertible into class A common shares at a conversion price equal to the stated value per share of Series A Preferred Stock (initial stated value of Series A Preferred Stock is $9.6928). The conversion price is subject to adjustment based on issuance of additional shares of Class A common stock for no consideration or consideration per share less than the applicable conversion price. The conversion price is also subject to adjustment for standard anti-dilution provisions, and potential adjustment based on an effective offering price underlying an initial public offering. The shares may become mandatorily convertible upon the closing of a qualified public offering.</w:t>
      </w:r>
    </w:p>
    <w:p>
      <w:pPr>
        <w:spacing w:after="0" w:line="187" w:lineRule="exact"/>
        <w:rPr>
          <w:sz w:val="20"/>
          <w:szCs w:val="20"/>
          <w:color w:val="auto"/>
        </w:rPr>
      </w:pPr>
    </w:p>
    <w:p>
      <w:pPr>
        <w:jc w:val="both"/>
        <w:ind w:left="20" w:right="20" w:hanging="7"/>
        <w:spacing w:after="0" w:line="271" w:lineRule="auto"/>
        <w:rPr>
          <w:sz w:val="20"/>
          <w:szCs w:val="20"/>
          <w:color w:val="auto"/>
        </w:rPr>
      </w:pPr>
      <w:r>
        <w:rPr>
          <w:rFonts w:ascii="Times New Roman" w:cs="Times New Roman" w:eastAsia="Times New Roman" w:hAnsi="Times New Roman"/>
          <w:sz w:val="16"/>
          <w:szCs w:val="16"/>
          <w:color w:val="auto"/>
        </w:rPr>
        <w:t>The preferred stock do not have a mandatory redemption date and were assessed at issuance for classification and redemption features requiring bifurcation.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as described below.</w:t>
      </w:r>
    </w:p>
    <w:p>
      <w:pPr>
        <w:spacing w:after="0" w:line="181" w:lineRule="exact"/>
        <w:rPr>
          <w:sz w:val="20"/>
          <w:szCs w:val="20"/>
          <w:color w:val="auto"/>
        </w:rPr>
      </w:pPr>
    </w:p>
    <w:p>
      <w:pPr>
        <w:jc w:val="both"/>
        <w:ind w:left="20" w:right="20" w:hanging="7"/>
        <w:spacing w:after="0" w:line="263" w:lineRule="auto"/>
        <w:rPr>
          <w:sz w:val="20"/>
          <w:szCs w:val="20"/>
          <w:color w:val="auto"/>
        </w:rPr>
      </w:pPr>
      <w:r>
        <w:rPr>
          <w:rFonts w:ascii="Times New Roman" w:cs="Times New Roman" w:eastAsia="Times New Roman" w:hAnsi="Times New Roman"/>
          <w:sz w:val="16"/>
          <w:szCs w:val="16"/>
          <w:color w:val="auto"/>
        </w:rPr>
        <w:t>The Senior Series A Preferred Stock has the right, but not the obligation, to put the Senior Series A Preferred Stock held back to the Company at a per share purchase price equal to the 175% of the applicable stated value then in effect with respect to such share of Senior Series A Preferred Stock on the one-year anniversary of the issuance date (initial redemption) or to put all shares of Senior Series A Preferred Stock held at a per share purchase price equal to the 300% of the applicable stated value then in effect with respect to such share of Senior Series A Preferred Stock beginning on the fourth anniversary of the issuance date (full redemption). The holders of the Series A Preferred Stock did not exercise their put option at the one-year anniversary date of the Series A Preferred Stock issuance date.</w:t>
      </w:r>
    </w:p>
    <w:p>
      <w:pPr>
        <w:spacing w:after="0" w:line="175" w:lineRule="exact"/>
        <w:rPr>
          <w:sz w:val="20"/>
          <w:szCs w:val="20"/>
          <w:color w:val="auto"/>
        </w:rPr>
      </w:pPr>
    </w:p>
    <w:p>
      <w:pPr>
        <w:jc w:val="both"/>
        <w:ind w:left="20" w:right="20" w:hanging="7"/>
        <w:spacing w:after="0" w:line="266" w:lineRule="auto"/>
        <w:rPr>
          <w:sz w:val="20"/>
          <w:szCs w:val="20"/>
          <w:color w:val="auto"/>
        </w:rPr>
      </w:pPr>
      <w:r>
        <w:rPr>
          <w:rFonts w:ascii="Times New Roman" w:cs="Times New Roman" w:eastAsia="Times New Roman" w:hAnsi="Times New Roman"/>
          <w:sz w:val="16"/>
          <w:szCs w:val="16"/>
          <w:color w:val="auto"/>
        </w:rPr>
        <w:t>The redeemable convertible preferred stock is redeemable at the option of the holders which the Company determined is not solely within its control and thus has classified shares of redeemable convertible preferred stock as temporary equity until such time as the conditions are removed or lapse. The preferred stock which includes redemption features that are exercisable solely based on the passage of time are probable of becoming redeemable. The Company has determined the redemption amount and measured the securities at the highest of those amounts.</w:t>
      </w:r>
    </w:p>
    <w:p>
      <w:pPr>
        <w:spacing w:after="0" w:line="184" w:lineRule="exact"/>
        <w:rPr>
          <w:sz w:val="20"/>
          <w:szCs w:val="20"/>
          <w:color w:val="auto"/>
        </w:rPr>
      </w:pPr>
    </w:p>
    <w:p>
      <w:pPr>
        <w:jc w:val="both"/>
        <w:ind w:left="20" w:hanging="7"/>
        <w:spacing w:after="0" w:line="263" w:lineRule="auto"/>
        <w:rPr>
          <w:sz w:val="20"/>
          <w:szCs w:val="20"/>
          <w:color w:val="auto"/>
        </w:rPr>
      </w:pPr>
      <w:r>
        <w:rPr>
          <w:rFonts w:ascii="Times New Roman" w:cs="Times New Roman" w:eastAsia="Times New Roman" w:hAnsi="Times New Roman"/>
          <w:sz w:val="16"/>
          <w:szCs w:val="16"/>
          <w:color w:val="auto"/>
        </w:rPr>
        <w:t>Pursuant to the election of the Senior Series A Preferred Stockholders to exercise either the initial or full redemption, the Common Stockholder has the right, but not the obligation, to redeem all shares of Senior Series A Preferred Stock held at a per share purchase price equal to the 175% of the applicable stated value then in effect with respect to such share of Series A Preferred Stock on the one-year anniversary of the issuance date (initial redemption) or to redeem all shares of Series A-1, A-2 or A-3 Preferred Stock held at a per share purchase price equal to the 300% of the applicable stated value then in effect with respect to such share of Series A Preferred Stock beginning on the fourth anniversary of the issuance date (full redemption).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Series A-4 shares may be redeemed beginning on the fifteenth anniversary of their issuance date based on the original issuance price of those Series A-4 shares.</w:t>
      </w:r>
    </w:p>
    <w:p>
      <w:pPr>
        <w:spacing w:after="0" w:line="231" w:lineRule="exact"/>
        <w:rPr>
          <w:sz w:val="20"/>
          <w:szCs w:val="20"/>
          <w:color w:val="auto"/>
        </w:rPr>
      </w:pPr>
    </w:p>
    <w:p>
      <w:pPr>
        <w:jc w:val="both"/>
        <w:ind w:left="20" w:right="20" w:hanging="7"/>
        <w:spacing w:after="0" w:line="266" w:lineRule="auto"/>
        <w:rPr>
          <w:sz w:val="20"/>
          <w:szCs w:val="20"/>
          <w:color w:val="auto"/>
        </w:rPr>
      </w:pPr>
      <w:r>
        <w:rPr>
          <w:rFonts w:ascii="Times New Roman" w:cs="Times New Roman" w:eastAsia="Times New Roman" w:hAnsi="Times New Roman"/>
          <w:sz w:val="16"/>
          <w:szCs w:val="16"/>
          <w:color w:val="auto"/>
        </w:rPr>
        <w:t>Dividends for Senior Series A Preferred Stock compound annually and accrue at the rate per annum of eleven percent (11%) of the stated value of such share then in effect. Dividends accrue daily and are cumulative. Dividends are automatically deemed to be paid in kind, and the stated value with respect to each share of Senior Series A Preferred Stock is correspondingly increased by the accruing dividend, on a daily basis, and will not be paid by the Company in cash or in Common Stock. For the year ended December 31, 2023 (Successor), the stated value of the Senior Series A Preferred Stock increased by $9.2 million because of the accruing dividend.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11280"/>
          </w:cols>
          <w:pgMar w:left="300" w:top="536" w:right="31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The holders of the Series A-4 Preferred Stock are entitled to receive, on a pari passu basis with the holders of the Common Stock, when, as, and if declared by the Board, out of any assets of the Corporation legally available therefore, such dividends as may be declared from time to time by the Board.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Voting Rights</w:t>
      </w:r>
    </w:p>
    <w:p>
      <w:pPr>
        <w:spacing w:after="0" w:line="220"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Each holder of Class A Common Stock has the right to one (1) vote per share of Class A Common Stock held of record by such holder and each holder of Class B Common Stock has the right to ten (10) votes per share of Class B Common Stock held of record by such holder.</w:t>
      </w:r>
    </w:p>
    <w:p>
      <w:pPr>
        <w:spacing w:after="0" w:line="166" w:lineRule="exact"/>
        <w:rPr>
          <w:sz w:val="20"/>
          <w:szCs w:val="20"/>
          <w:color w:val="auto"/>
        </w:rPr>
      </w:pPr>
    </w:p>
    <w:p>
      <w:pPr>
        <w:jc w:val="both"/>
        <w:ind w:left="20" w:right="20" w:hanging="7"/>
        <w:spacing w:after="0" w:line="269" w:lineRule="auto"/>
        <w:rPr>
          <w:sz w:val="20"/>
          <w:szCs w:val="20"/>
          <w:color w:val="auto"/>
        </w:rPr>
      </w:pPr>
      <w:r>
        <w:rPr>
          <w:rFonts w:ascii="Times New Roman" w:cs="Times New Roman" w:eastAsia="Times New Roman" w:hAnsi="Times New Roman"/>
          <w:sz w:val="16"/>
          <w:szCs w:val="16"/>
          <w:color w:val="auto"/>
        </w:rPr>
        <w:t>Each holder of outstanding shares of Senior Series A Preferred Stock is entitled to cast the number of votes equal to the number of whole shares of Class A Common Stock into which the shares of Senior Series A Preferred Stock held by such holder are convertible as of the record date for determining stockholders entitled to vote on such matter. Holders of Senior Series A Preferred Stock vote together with the holders of Common Stock as a single class and on an as converted to Class A Common Stock basis.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holder of outstanding shares of Series A-4 Preferred Stock shall have no voting right on any matter presented to the stockholders of 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Right to Receive Liquidation Distribution</w:t>
      </w:r>
    </w:p>
    <w:p>
      <w:pPr>
        <w:spacing w:after="0" w:line="233"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In the event of liquidation, dissolution or winding up of the Company, after the satisfaction of all amounts due under the Monroe Credit Agreement, holders of the Senior Series A Preferred Stock will be eligible for preferential payment out of the assets of the Company over the holders of the other share classes.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Common Stock Warrants</w:t>
      </w:r>
    </w:p>
    <w:p>
      <w:pPr>
        <w:spacing w:after="0" w:line="233" w:lineRule="exact"/>
        <w:rPr>
          <w:sz w:val="20"/>
          <w:szCs w:val="20"/>
          <w:color w:val="auto"/>
        </w:rPr>
      </w:pPr>
    </w:p>
    <w:p>
      <w:pPr>
        <w:jc w:val="both"/>
        <w:ind w:left="20" w:hanging="7"/>
        <w:spacing w:after="0" w:line="263" w:lineRule="auto"/>
        <w:rPr>
          <w:sz w:val="20"/>
          <w:szCs w:val="20"/>
          <w:color w:val="auto"/>
        </w:rPr>
      </w:pPr>
      <w:r>
        <w:rPr>
          <w:rFonts w:ascii="Times New Roman" w:cs="Times New Roman" w:eastAsia="Times New Roman" w:hAnsi="Times New Roman"/>
          <w:sz w:val="16"/>
          <w:szCs w:val="16"/>
          <w:color w:val="auto"/>
        </w:rPr>
        <w:t>In connection with the conversion of the convertible promissory note to Series A-1 Preferred Stock and the purchase of Series A-2 Preferred Stock, the Company issued 8,804,870 of Common Stock warrants, $0.001 par value per share, which expire on December 31, 2032, to the Series A-1 Stockholder. The number of Common Stock warrants may increase by up 745,288 shares to 9,550,158 in total in the event that, and in proportion with, Series A-3 or Series A-4 Preferred Stock are subsequently issued. The Common Stock warrants each have an exercise price of $9.6928 per share, subject to certain adjustments, and may be exercised in whole or in part at any time prior to December 21, 2032, including on a cash or cashless exercise basis.</w:t>
      </w:r>
    </w:p>
    <w:p>
      <w:pPr>
        <w:spacing w:after="0" w:line="187"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All Common Stock warrants remain unexercised and outstanding as of December 31, 2023 (Successor), and there were 8,804,870 Common Stock warrants outstanding as of December 31, 2023 (Successor).</w:t>
      </w:r>
    </w:p>
    <w:p>
      <w:pPr>
        <w:spacing w:after="0" w:line="154" w:lineRule="exact"/>
        <w:rPr>
          <w:sz w:val="20"/>
          <w:szCs w:val="20"/>
          <w:color w:val="auto"/>
        </w:rPr>
      </w:pPr>
    </w:p>
    <w:p>
      <w:pPr>
        <w:jc w:val="both"/>
        <w:ind w:left="20" w:right="20" w:hanging="7"/>
        <w:spacing w:after="0" w:line="271" w:lineRule="auto"/>
        <w:rPr>
          <w:sz w:val="20"/>
          <w:szCs w:val="20"/>
          <w:color w:val="auto"/>
        </w:rPr>
      </w:pPr>
      <w:r>
        <w:rPr>
          <w:rFonts w:ascii="Times New Roman" w:cs="Times New Roman" w:eastAsia="Times New Roman" w:hAnsi="Times New Roman"/>
          <w:sz w:val="16"/>
          <w:szCs w:val="16"/>
          <w:color w:val="auto"/>
        </w:rPr>
        <w:t>The Common Stock warrants are classified within other non-current liabilities on the consolidated balance sheet as of December 31, 2023 (Successor) and were valued using an option pricing model. Changes in fair value are recognized through earnings within other income (expense), net on the consolidated and combined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1280"/>
          </w:cols>
          <w:pgMar w:left="300" w:top="536" w:right="31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20" w:hanging="7"/>
        <w:spacing w:after="0" w:line="289" w:lineRule="auto"/>
        <w:rPr>
          <w:sz w:val="20"/>
          <w:szCs w:val="20"/>
          <w:color w:val="auto"/>
        </w:rPr>
      </w:pPr>
      <w:r>
        <w:rPr>
          <w:rFonts w:ascii="Times New Roman" w:cs="Times New Roman" w:eastAsia="Times New Roman" w:hAnsi="Times New Roman"/>
          <w:sz w:val="16"/>
          <w:szCs w:val="16"/>
          <w:color w:val="auto"/>
        </w:rPr>
        <w:t>The following is a roll forward of the fair value of the Common Stock warrants for the periods from January 1, 2022 through December 20, 2022 (Predecessor), December 21, 2022 through December 31,2022 (Successor) and for the year ended December 31, 2023:</w:t>
      </w:r>
    </w:p>
    <w:p>
      <w:pPr>
        <w:spacing w:after="0" w:line="207" w:lineRule="exact"/>
        <w:rPr>
          <w:sz w:val="20"/>
          <w:szCs w:val="20"/>
          <w:color w:val="auto"/>
        </w:rPr>
      </w:pPr>
    </w:p>
    <w:tbl>
      <w:tblPr>
        <w:tblLayout w:type="fixed"/>
        <w:tblInd w:w="1620" w:type="dxa"/>
        <w:tblCellMar>
          <w:top w:w="0" w:type="dxa"/>
          <w:left w:w="0" w:type="dxa"/>
          <w:bottom w:w="0" w:type="dxa"/>
          <w:right w:w="0" w:type="dxa"/>
        </w:tblCellMar>
      </w:tblPr>
      <w:tr>
        <w:trPr>
          <w:trHeight w:val="248"/>
        </w:trPr>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on January 1, 2022 (Predecessor)</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warrants at fair value on December 21, 2022 (Successor)</w:t>
            </w: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132,073</w:t>
            </w:r>
          </w:p>
        </w:tc>
      </w:tr>
      <w:tr>
        <w:trPr>
          <w:trHeight w:val="37"/>
        </w:trPr>
        <w:tc>
          <w:tcPr>
            <w:tcW w:w="6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8"/>
        </w:trPr>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w:t>
            </w:r>
          </w:p>
        </w:tc>
        <w:tc>
          <w:tcPr>
            <w:tcW w:w="4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on December 31, 2022 (Successor)</w:t>
            </w:r>
          </w:p>
        </w:tc>
        <w:tc>
          <w:tcPr>
            <w:tcW w:w="4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132,073</w:t>
            </w:r>
          </w:p>
        </w:tc>
      </w:tr>
      <w:tr>
        <w:trPr>
          <w:trHeight w:val="37"/>
        </w:trPr>
        <w:tc>
          <w:tcPr>
            <w:tcW w:w="6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8"/>
        </w:trPr>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w:t>
            </w:r>
          </w:p>
        </w:tc>
        <w:tc>
          <w:tcPr>
            <w:tcW w:w="4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924,511</w:t>
            </w:r>
          </w:p>
        </w:tc>
      </w:tr>
      <w:tr>
        <w:trPr>
          <w:trHeight w:val="254"/>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on December 31, 2023</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1,056,584</w:t>
            </w:r>
          </w:p>
        </w:tc>
      </w:tr>
      <w:tr>
        <w:trPr>
          <w:trHeight w:val="23"/>
        </w:trPr>
        <w:tc>
          <w:tcPr>
            <w:tcW w:w="65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Preferred Stock Warrants</w:t>
      </w:r>
    </w:p>
    <w:p>
      <w:pPr>
        <w:spacing w:after="0" w:line="220" w:lineRule="exact"/>
        <w:rPr>
          <w:sz w:val="20"/>
          <w:szCs w:val="20"/>
          <w:color w:val="auto"/>
        </w:rPr>
      </w:pPr>
    </w:p>
    <w:p>
      <w:pPr>
        <w:jc w:val="both"/>
        <w:ind w:left="20" w:hanging="7"/>
        <w:spacing w:after="0" w:line="261" w:lineRule="auto"/>
        <w:rPr>
          <w:sz w:val="20"/>
          <w:szCs w:val="20"/>
          <w:color w:val="auto"/>
        </w:rPr>
      </w:pPr>
      <w:r>
        <w:rPr>
          <w:rFonts w:ascii="Times New Roman" w:cs="Times New Roman" w:eastAsia="Times New Roman" w:hAnsi="Times New Roman"/>
          <w:sz w:val="16"/>
          <w:szCs w:val="16"/>
          <w:color w:val="auto"/>
        </w:rPr>
        <w:t>As part of the Monroe Credit Agreement, Monroe received 812,458 Series A-2 Preferred Stock warrants having a ten-year term that expires on December 21, 2032. The number of Series A-2 Preferred Stock shares that may be issued upon exercise is subject to increase based on adjustment to reduce the exercise price per share. The exercise price is equal to the lower of (a) the initial stated value of Series A Preferred Stock of $9.6928 per share and (b) 80% of the lowest price per share at which (i) the preferred equity of the Company is sold in the Company’s most recent Equity Financing (as defined in the preferred warrant agreement) or (ii) the common stock of the Company is being purchased in an Acquisition (as defined in the preferred warrant agreement). The Series A-2 Preferred Stock Warrants may be exercised in whole or in part at any time prior to December 21, 2032, including on a cash or cashless exercise basis.</w:t>
      </w:r>
    </w:p>
    <w:p>
      <w:pPr>
        <w:spacing w:after="0" w:line="189" w:lineRule="exact"/>
        <w:rPr>
          <w:sz w:val="20"/>
          <w:szCs w:val="20"/>
          <w:color w:val="auto"/>
        </w:rPr>
      </w:pPr>
    </w:p>
    <w:p>
      <w:pPr>
        <w:jc w:val="both"/>
        <w:ind w:left="20" w:hanging="7"/>
        <w:spacing w:after="0" w:line="289" w:lineRule="auto"/>
        <w:rPr>
          <w:sz w:val="20"/>
          <w:szCs w:val="20"/>
          <w:color w:val="auto"/>
        </w:rPr>
      </w:pPr>
      <w:r>
        <w:rPr>
          <w:rFonts w:ascii="Times New Roman" w:cs="Times New Roman" w:eastAsia="Times New Roman" w:hAnsi="Times New Roman"/>
          <w:sz w:val="16"/>
          <w:szCs w:val="16"/>
          <w:color w:val="auto"/>
        </w:rPr>
        <w:t>All Series A-2 Preferred Stock warrants remain unexercised and outstanding as of December 31, 2023 (Successor), and there were 812,458 Preferred Stock warrants outstanding as of December 31, 2023 (Successor).</w:t>
      </w:r>
    </w:p>
    <w:p>
      <w:pPr>
        <w:spacing w:after="0" w:line="166" w:lineRule="exact"/>
        <w:rPr>
          <w:sz w:val="20"/>
          <w:szCs w:val="20"/>
          <w:color w:val="auto"/>
        </w:rPr>
      </w:pPr>
    </w:p>
    <w:p>
      <w:pPr>
        <w:jc w:val="both"/>
        <w:ind w:left="20" w:hanging="7"/>
        <w:spacing w:after="0" w:line="271" w:lineRule="auto"/>
        <w:rPr>
          <w:sz w:val="20"/>
          <w:szCs w:val="20"/>
          <w:color w:val="auto"/>
        </w:rPr>
      </w:pPr>
      <w:r>
        <w:rPr>
          <w:rFonts w:ascii="Times New Roman" w:cs="Times New Roman" w:eastAsia="Times New Roman" w:hAnsi="Times New Roman"/>
          <w:sz w:val="16"/>
          <w:szCs w:val="16"/>
          <w:color w:val="auto"/>
        </w:rPr>
        <w:t>The Series A-2 Preferred Stock warrants were valued using a Monte-Carlo valuation method and recorded as preferred warrant liability within other non-current liabilities on the consolidated balance sheet. Changes in fair value are recognized through earnings within other income (expense), net on the consolidated and combined statements of operations and comprehensive loss.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roll forward of the fair value of the Series A-2 Preferred Stock warrants for the periods from January 1, 2022 through December 20, 2022 (Predecessor),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December 21, 2022 through December 31,2022 (Successor) and for the year ended December 31, 2023:</w:t>
      </w:r>
    </w:p>
    <w:p>
      <w:pPr>
        <w:spacing w:after="0" w:line="243" w:lineRule="exact"/>
        <w:rPr>
          <w:sz w:val="20"/>
          <w:szCs w:val="20"/>
          <w:color w:val="auto"/>
        </w:rPr>
      </w:pPr>
    </w:p>
    <w:tbl>
      <w:tblPr>
        <w:tblLayout w:type="fixed"/>
        <w:tblInd w:w="1620" w:type="dxa"/>
        <w:tblCellMar>
          <w:top w:w="0" w:type="dxa"/>
          <w:left w:w="0" w:type="dxa"/>
          <w:bottom w:w="0" w:type="dxa"/>
          <w:right w:w="0" w:type="dxa"/>
        </w:tblCellMar>
      </w:tblPr>
      <w:tr>
        <w:trPr>
          <w:trHeight w:val="248"/>
        </w:trPr>
        <w:tc>
          <w:tcPr>
            <w:tcW w:w="65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Balance on January 1, 2022 (Predecessor)</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65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Issuance of preferred stock warrants at fair value on December 21, 2022 (Successor)</w:t>
            </w: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2,974,409</w:t>
            </w:r>
          </w:p>
        </w:tc>
      </w:tr>
      <w:tr>
        <w:trPr>
          <w:trHeight w:val="37"/>
        </w:trPr>
        <w:tc>
          <w:tcPr>
            <w:tcW w:w="6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8"/>
        </w:trPr>
        <w:tc>
          <w:tcPr>
            <w:tcW w:w="65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Change in fair value</w:t>
            </w:r>
          </w:p>
        </w:tc>
        <w:tc>
          <w:tcPr>
            <w:tcW w:w="4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5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Balance on December 31, 2022 (Successor)</w:t>
            </w:r>
          </w:p>
        </w:tc>
        <w:tc>
          <w:tcPr>
            <w:tcW w:w="4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2,974,409</w:t>
            </w:r>
          </w:p>
        </w:tc>
      </w:tr>
      <w:tr>
        <w:trPr>
          <w:trHeight w:val="37"/>
        </w:trPr>
        <w:tc>
          <w:tcPr>
            <w:tcW w:w="6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8"/>
        </w:trPr>
        <w:tc>
          <w:tcPr>
            <w:tcW w:w="65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Change in fair value</w:t>
            </w:r>
          </w:p>
        </w:tc>
        <w:tc>
          <w:tcPr>
            <w:tcW w:w="4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608,531</w:t>
            </w:r>
          </w:p>
        </w:tc>
      </w:tr>
      <w:tr>
        <w:trPr>
          <w:trHeight w:val="254"/>
        </w:trPr>
        <w:tc>
          <w:tcPr>
            <w:tcW w:w="65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Balance on December 31, 2023</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3,582,940</w:t>
            </w:r>
          </w:p>
        </w:tc>
      </w:tr>
      <w:tr>
        <w:trPr>
          <w:trHeight w:val="23"/>
        </w:trPr>
        <w:tc>
          <w:tcPr>
            <w:tcW w:w="65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SALE OF BUSINESS UNIT</w:t>
      </w:r>
    </w:p>
    <w:p>
      <w:pPr>
        <w:spacing w:after="0" w:line="220" w:lineRule="exact"/>
        <w:rPr>
          <w:sz w:val="20"/>
          <w:szCs w:val="20"/>
          <w:color w:val="auto"/>
        </w:rPr>
      </w:pPr>
    </w:p>
    <w:p>
      <w:pPr>
        <w:jc w:val="both"/>
        <w:ind w:left="20" w:hanging="7"/>
        <w:spacing w:after="0" w:line="271" w:lineRule="auto"/>
        <w:rPr>
          <w:sz w:val="20"/>
          <w:szCs w:val="20"/>
          <w:color w:val="auto"/>
        </w:rPr>
      </w:pPr>
      <w:r>
        <w:rPr>
          <w:rFonts w:ascii="Times New Roman" w:cs="Times New Roman" w:eastAsia="Times New Roman" w:hAnsi="Times New Roman"/>
          <w:sz w:val="16"/>
          <w:szCs w:val="16"/>
          <w:color w:val="auto"/>
        </w:rPr>
        <w:t>On December 1, 2023, the Company completed a sale of its subsidiary in Slovakia along with certain employees from India. Total proceeds received from the sale amounted to $1.3 million. The Company derecognized net assets of $0.1 million and recognized a pre-tax gain on the sale in the amount of $1.2 million which is reported within other income (expense), net on the consolidated and combined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1260"/>
          </w:cols>
          <w:pgMar w:left="300" w:top="536"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SUBSEQUENT EVENTS</w:t>
      </w:r>
    </w:p>
    <w:p>
      <w:pPr>
        <w:spacing w:after="0" w:line="218" w:lineRule="exact"/>
        <w:rPr>
          <w:sz w:val="20"/>
          <w:szCs w:val="20"/>
          <w:color w:val="auto"/>
        </w:rPr>
      </w:pPr>
    </w:p>
    <w:p>
      <w:pPr>
        <w:jc w:val="both"/>
        <w:ind w:left="20" w:right="20" w:hanging="7"/>
        <w:spacing w:after="0" w:line="292" w:lineRule="auto"/>
        <w:rPr>
          <w:sz w:val="20"/>
          <w:szCs w:val="20"/>
          <w:color w:val="auto"/>
        </w:rPr>
      </w:pPr>
      <w:r>
        <w:rPr>
          <w:rFonts w:ascii="Times New Roman" w:cs="Times New Roman" w:eastAsia="Times New Roman" w:hAnsi="Times New Roman"/>
          <w:sz w:val="16"/>
          <w:szCs w:val="16"/>
          <w:color w:val="auto"/>
        </w:rPr>
        <w:t xml:space="preserve">In accordance with ASC 855, </w:t>
      </w:r>
      <w:r>
        <w:rPr>
          <w:rFonts w:ascii="Times New Roman" w:cs="Times New Roman" w:eastAsia="Times New Roman" w:hAnsi="Times New Roman"/>
          <w:sz w:val="16"/>
          <w:szCs w:val="16"/>
          <w:i w:val="1"/>
          <w:iCs w:val="1"/>
          <w:color w:val="auto"/>
        </w:rPr>
        <w:t>Subsequent Events</w:t>
      </w:r>
      <w:r>
        <w:rPr>
          <w:rFonts w:ascii="Times New Roman" w:cs="Times New Roman" w:eastAsia="Times New Roman" w:hAnsi="Times New Roman"/>
          <w:sz w:val="16"/>
          <w:szCs w:val="16"/>
          <w:color w:val="auto"/>
        </w:rPr>
        <w:t>, the Company evaluated subsequent events through October 22, 2024, the date these consolidated financial statements were available to be issued.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utilized its Delayed Draw Term Loan Facility (Note 6) through March 31, 2024 and drew down on the facility in the amount of $6.0 million.</w:t>
      </w:r>
    </w:p>
    <w:p>
      <w:pPr>
        <w:spacing w:after="0" w:line="231" w:lineRule="exact"/>
        <w:rPr>
          <w:sz w:val="20"/>
          <w:szCs w:val="20"/>
          <w:color w:val="auto"/>
        </w:rPr>
      </w:pPr>
    </w:p>
    <w:p>
      <w:pPr>
        <w:jc w:val="both"/>
        <w:ind w:left="20" w:hanging="7"/>
        <w:spacing w:after="0" w:line="266" w:lineRule="auto"/>
        <w:rPr>
          <w:sz w:val="20"/>
          <w:szCs w:val="20"/>
          <w:color w:val="auto"/>
        </w:rPr>
      </w:pPr>
      <w:r>
        <w:rPr>
          <w:rFonts w:ascii="Times New Roman" w:cs="Times New Roman" w:eastAsia="Times New Roman" w:hAnsi="Times New Roman"/>
          <w:sz w:val="16"/>
          <w:szCs w:val="16"/>
          <w:color w:val="auto"/>
        </w:rPr>
        <w:t>In January 2024, the Company instituted and adopted the 2024 Equity Incentive Plan (the 2024 Plan) whereby the Company may grant equity-based incentive awards to its employees, directors and consultants pursuant to the 2024 Plan. A total of 22,470,959 shares of the Company’s Class A Common Stock is reserved for sale and issuance under the 2024 Plan. In April 2024, pursuant to the 2024 Plan, the Company issued options to purchase 12,301,329 shares of the Common A shares of the Company with a strike price of $0.40 per share, and four-year vesting.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June 30, 2024, the CVR was converted to 3,765,280 shares of Series A-4 Preferred Stock.</w:t>
      </w:r>
    </w:p>
    <w:p>
      <w:pPr>
        <w:spacing w:after="0" w:line="231" w:lineRule="exact"/>
        <w:rPr>
          <w:sz w:val="20"/>
          <w:szCs w:val="20"/>
          <w:color w:val="auto"/>
        </w:rPr>
      </w:pPr>
    </w:p>
    <w:p>
      <w:pPr>
        <w:jc w:val="both"/>
        <w:ind w:left="20" w:right="20" w:hanging="7"/>
        <w:spacing w:after="0" w:line="271" w:lineRule="auto"/>
        <w:rPr>
          <w:sz w:val="20"/>
          <w:szCs w:val="20"/>
          <w:color w:val="auto"/>
        </w:rPr>
      </w:pPr>
      <w:r>
        <w:rPr>
          <w:rFonts w:ascii="Times New Roman" w:cs="Times New Roman" w:eastAsia="Times New Roman" w:hAnsi="Times New Roman"/>
          <w:sz w:val="16"/>
          <w:szCs w:val="16"/>
          <w:color w:val="auto"/>
        </w:rPr>
        <w:t>On August 6, 2024, SoundHound AI, Inc. (“SoundHound”) completed its acquisition of all the issued and outstanding shares of the Company pursuant to the stock purchase agreement by and among SoundHound, IPSoft Global Holdings, Inc., and BuildGroup, LLC. As a result of the acquisition, awards granted under the 2024 Plan were cancelled in exchange for no consideration.</w:t>
      </w:r>
    </w:p>
    <w:p>
      <w:pPr>
        <w:spacing w:after="0" w:line="181"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Concurrent with the acquisition, the Company entered into a Second Amendment to the Monroe Credit Agreement and SoundHound paid $70 million to retire a majority of the Monroe Term Loan leaving a remaining balance of $39.69 million with a maturity date of June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1280"/>
          </w:cols>
          <w:pgMar w:left="300" w:top="536" w:right="319" w:bottom="1440" w:gutter="0" w:footer="0" w:header="0"/>
        </w:sectPr>
      </w:pPr>
    </w:p>
    <w:bookmarkStart w:id="43" w:name="page44"/>
    <w:bookmarkEnd w:id="43"/>
    <w:p>
      <w:pPr>
        <w:ind w:left="2720"/>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3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data)</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(Unaudited)</w:t>
      </w:r>
    </w:p>
    <w:p>
      <w:pPr>
        <w:spacing w:after="0" w:line="270" w:lineRule="exact"/>
        <w:rPr>
          <w:sz w:val="20"/>
          <w:szCs w:val="20"/>
          <w:color w:val="auto"/>
        </w:rPr>
      </w:pPr>
    </w:p>
    <w:tbl>
      <w:tblPr>
        <w:tblLayout w:type="fixed"/>
        <w:tblInd w:w="480" w:type="dxa"/>
        <w:tblCellMar>
          <w:top w:w="0" w:type="dxa"/>
          <w:left w:w="0" w:type="dxa"/>
          <w:bottom w:w="0" w:type="dxa"/>
          <w:right w:w="0" w:type="dxa"/>
        </w:tblCellMar>
      </w:tblPr>
      <w:tr>
        <w:trPr>
          <w:trHeight w:val="170"/>
        </w:trPr>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60" w:type="dxa"/>
            <w:vAlign w:val="bottom"/>
          </w:tcPr>
          <w:p>
            <w:pPr>
              <w:spacing w:after="0"/>
              <w:rPr>
                <w:sz w:val="14"/>
                <w:szCs w:val="14"/>
                <w:color w:val="auto"/>
              </w:rPr>
            </w:pPr>
          </w:p>
        </w:tc>
        <w:tc>
          <w:tcPr>
            <w:tcW w:w="1060" w:type="dxa"/>
            <w:vAlign w:val="bottom"/>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219"/>
        </w:trPr>
        <w:tc>
          <w:tcPr>
            <w:tcW w:w="5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395"/>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35"/>
        </w:trPr>
        <w:tc>
          <w:tcPr>
            <w:tcW w:w="54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79"/>
        </w:trPr>
        <w:tc>
          <w:tcPr>
            <w:tcW w:w="5480" w:type="dxa"/>
            <w:vAlign w:val="bottom"/>
            <w:tcBorders>
              <w:bottom w:val="single" w:sz="8" w:color="CCEEFF"/>
            </w:tcBorders>
            <w:shd w:val="clear" w:color="auto" w:fill="CCEEFF"/>
          </w:tcPr>
          <w:p>
            <w:pPr>
              <w:ind w:left="250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184"/>
        </w:trPr>
        <w:tc>
          <w:tcPr>
            <w:tcW w:w="5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Current assets: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5"/>
        </w:trPr>
        <w:tc>
          <w:tcPr>
            <w:tcW w:w="5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199"/>
        </w:trPr>
        <w:tc>
          <w:tcPr>
            <w:tcW w:w="54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11,359</w:t>
            </w:r>
          </w:p>
        </w:tc>
      </w:tr>
      <w:tr>
        <w:trPr>
          <w:trHeight w:val="151"/>
        </w:trPr>
        <w:tc>
          <w:tcPr>
            <w:tcW w:w="54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Accounts receivable, net of allowances for credit losses of $1.2 million and $0.7 million,</w:t>
            </w: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11,087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19,747</w:t>
            </w:r>
          </w:p>
        </w:tc>
      </w:tr>
      <w:tr>
        <w:trPr>
          <w:trHeight w:val="168"/>
        </w:trPr>
        <w:tc>
          <w:tcPr>
            <w:tcW w:w="54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respectively</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47"/>
        </w:trPr>
        <w:tc>
          <w:tcPr>
            <w:tcW w:w="5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199"/>
        </w:trPr>
        <w:tc>
          <w:tcPr>
            <w:tcW w:w="54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1,244</w:t>
            </w:r>
          </w:p>
        </w:tc>
      </w:tr>
      <w:tr>
        <w:trPr>
          <w:trHeight w:val="184"/>
        </w:trPr>
        <w:tc>
          <w:tcPr>
            <w:tcW w:w="54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Other receivables</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2,471</w:t>
            </w:r>
          </w:p>
        </w:tc>
      </w:tr>
      <w:tr>
        <w:trPr>
          <w:trHeight w:val="35"/>
        </w:trPr>
        <w:tc>
          <w:tcPr>
            <w:tcW w:w="5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199"/>
        </w:trPr>
        <w:tc>
          <w:tcPr>
            <w:tcW w:w="54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Deferred sales commissions</w:t>
            </w: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1,082</w:t>
            </w:r>
          </w:p>
        </w:tc>
      </w:tr>
      <w:tr>
        <w:trPr>
          <w:trHeight w:val="184"/>
        </w:trPr>
        <w:tc>
          <w:tcPr>
            <w:tcW w:w="54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Contract assets</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w:t>
            </w:r>
          </w:p>
        </w:tc>
      </w:tr>
      <w:tr>
        <w:trPr>
          <w:trHeight w:val="35"/>
        </w:trPr>
        <w:tc>
          <w:tcPr>
            <w:tcW w:w="54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92"/>
        </w:trPr>
        <w:tc>
          <w:tcPr>
            <w:tcW w:w="54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Total current assets</w:t>
            </w: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22,790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39,403</w:t>
            </w:r>
          </w:p>
        </w:tc>
      </w:tr>
      <w:tr>
        <w:trPr>
          <w:trHeight w:val="244"/>
        </w:trPr>
        <w:tc>
          <w:tcPr>
            <w:tcW w:w="5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199"/>
        </w:trPr>
        <w:tc>
          <w:tcPr>
            <w:tcW w:w="5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Intangibles, net of accumulated amortization of $19.7 million and $12.5 million, respectively</w:t>
            </w: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47,971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55,099</w:t>
            </w:r>
          </w:p>
        </w:tc>
      </w:tr>
      <w:tr>
        <w:trPr>
          <w:trHeight w:val="184"/>
        </w:trPr>
        <w:tc>
          <w:tcPr>
            <w:tcW w:w="5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Goodwill</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107,307</w:t>
            </w:r>
          </w:p>
        </w:tc>
      </w:tr>
      <w:tr>
        <w:trPr>
          <w:trHeight w:val="35"/>
        </w:trPr>
        <w:tc>
          <w:tcPr>
            <w:tcW w:w="5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199"/>
        </w:trPr>
        <w:tc>
          <w:tcPr>
            <w:tcW w:w="5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Deferred sales commissions, non-current</w:t>
            </w: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2,580</w:t>
            </w:r>
          </w:p>
        </w:tc>
      </w:tr>
      <w:tr>
        <w:trPr>
          <w:trHeight w:val="184"/>
        </w:trPr>
        <w:tc>
          <w:tcPr>
            <w:tcW w:w="5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non-current assets</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3,506</w:t>
            </w:r>
          </w:p>
        </w:tc>
      </w:tr>
      <w:tr>
        <w:trPr>
          <w:trHeight w:val="35"/>
        </w:trPr>
        <w:tc>
          <w:tcPr>
            <w:tcW w:w="54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7"/>
        </w:trPr>
        <w:tc>
          <w:tcPr>
            <w:tcW w:w="54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Total assets</w:t>
            </w:r>
          </w:p>
        </w:tc>
        <w:tc>
          <w:tcPr>
            <w:tcW w:w="24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183,664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207,895</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139065</wp:posOffset>
            </wp:positionV>
            <wp:extent cx="5093970" cy="332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93970" cy="332740"/>
                    </a:xfrm>
                    <a:prstGeom prst="rect">
                      <a:avLst/>
                    </a:prstGeom>
                    <a:noFill/>
                  </pic:spPr>
                </pic:pic>
              </a:graphicData>
            </a:graphic>
          </wp:anchor>
        </w:drawing>
      </w:r>
    </w:p>
    <w:p>
      <w:pPr>
        <w:spacing w:after="0" w:line="214" w:lineRule="exact"/>
        <w:rPr>
          <w:sz w:val="20"/>
          <w:szCs w:val="20"/>
          <w:color w:val="auto"/>
        </w:rPr>
      </w:pPr>
    </w:p>
    <w:p>
      <w:pPr>
        <w:jc w:val="center"/>
        <w:ind w:right="2559"/>
        <w:spacing w:after="0"/>
        <w:rPr>
          <w:sz w:val="20"/>
          <w:szCs w:val="20"/>
          <w:color w:val="auto"/>
        </w:rPr>
      </w:pPr>
      <w:r>
        <w:rPr>
          <w:rFonts w:ascii="Times New Roman" w:cs="Times New Roman" w:eastAsia="Times New Roman" w:hAnsi="Times New Roman"/>
          <w:sz w:val="13"/>
          <w:szCs w:val="13"/>
          <w:b w:val="1"/>
          <w:bCs w:val="1"/>
          <w:color w:val="auto"/>
        </w:rPr>
        <w:t>LIABILITIES, CONVERTIBLE REDEEMABLE PREFERRED STOCK AND</w:t>
      </w:r>
    </w:p>
    <w:p>
      <w:pPr>
        <w:spacing w:after="0" w:line="21" w:lineRule="exact"/>
        <w:rPr>
          <w:sz w:val="20"/>
          <w:szCs w:val="20"/>
          <w:color w:val="auto"/>
        </w:rPr>
      </w:pPr>
    </w:p>
    <w:p>
      <w:pPr>
        <w:jc w:val="center"/>
        <w:ind w:right="2559"/>
        <w:spacing w:after="0"/>
        <w:rPr>
          <w:sz w:val="20"/>
          <w:szCs w:val="20"/>
          <w:color w:val="auto"/>
        </w:rPr>
      </w:pPr>
      <w:r>
        <w:rPr>
          <w:rFonts w:ascii="Times New Roman" w:cs="Times New Roman" w:eastAsia="Times New Roman" w:hAnsi="Times New Roman"/>
          <w:sz w:val="13"/>
          <w:szCs w:val="13"/>
          <w:b w:val="1"/>
          <w:bCs w:val="1"/>
          <w:color w:val="auto"/>
        </w:rPr>
        <w:t>STOCKHOLDERS' DEFICIT</w:t>
      </w:r>
    </w:p>
    <w:p>
      <w:pPr>
        <w:sectPr>
          <w:pgSz w:w="11900" w:h="16838" w:orient="portrait"/>
          <w:cols w:equalWidth="0" w:num="1">
            <w:col w:w="9019"/>
          </w:cols>
          <w:pgMar w:left="1440" w:top="1048" w:right="1440" w:bottom="1440" w:gutter="0" w:footer="0" w:header="0"/>
        </w:sectPr>
      </w:pPr>
    </w:p>
    <w:p>
      <w:pPr>
        <w:spacing w:after="0" w:line="2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Current liabilities:</w:t>
      </w:r>
    </w:p>
    <w:p>
      <w:pPr>
        <w:spacing w:after="0" w:line="5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Accounts payable</w:t>
      </w:r>
    </w:p>
    <w:p>
      <w:pPr>
        <w:spacing w:after="0" w:line="7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Accrued expenses</w:t>
      </w:r>
    </w:p>
    <w:p>
      <w:pPr>
        <w:spacing w:after="0" w:line="7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Deferred revenues</w:t>
      </w:r>
    </w:p>
    <w:p>
      <w:pPr>
        <w:spacing w:after="0" w:line="7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Current portion of long-term debt</w:t>
      </w:r>
    </w:p>
    <w:p>
      <w:pPr>
        <w:spacing w:after="0" w:line="7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Due to related party</w:t>
      </w:r>
    </w:p>
    <w:p>
      <w:pPr>
        <w:spacing w:after="0" w:line="7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Contingent value right liability</w:t>
      </w:r>
    </w:p>
    <w:p>
      <w:pPr>
        <w:spacing w:after="0" w:line="7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Other current liabilities</w:t>
      </w:r>
    </w:p>
    <w:p>
      <w:pPr>
        <w:spacing w:after="0" w:line="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3"/>
          <w:szCs w:val="13"/>
          <w:color w:val="auto"/>
        </w:rPr>
        <w:t>Total current liabilities</w:t>
      </w:r>
    </w:p>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Deferred revenue, net of current portion</w:t>
      </w:r>
    </w:p>
    <w:p>
      <w:pPr>
        <w:spacing w:after="0" w:line="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Warrant liability</w:t>
      </w:r>
    </w:p>
    <w:p>
      <w:pPr>
        <w:spacing w:after="0" w:line="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Deferred tax liability</w:t>
      </w:r>
    </w:p>
    <w:p>
      <w:pPr>
        <w:spacing w:after="0" w:line="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Other non-current liabilities</w:t>
      </w:r>
    </w:p>
    <w:p>
      <w:pPr>
        <w:spacing w:after="0" w:line="7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3"/>
          <w:szCs w:val="13"/>
          <w:color w:val="auto"/>
        </w:rPr>
        <w:t>Total liabilities</w:t>
      </w:r>
    </w:p>
    <w:p>
      <w:pPr>
        <w:spacing w:after="0" w:line="32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2"/>
          <w:szCs w:val="12"/>
          <w:color w:val="auto"/>
        </w:rPr>
        <w:t>Commitments and contingencies (Note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420" w:type="dxa"/>
            <w:vAlign w:val="bottom"/>
          </w:tcPr>
          <w:p>
            <w:pPr>
              <w:jc w:val="right"/>
              <w:ind w:right="27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12,312</w:t>
            </w:r>
          </w:p>
        </w:tc>
        <w:tc>
          <w:tcPr>
            <w:tcW w:w="100" w:type="dxa"/>
            <w:vAlign w:val="bottom"/>
          </w:tcPr>
          <w:p>
            <w:pPr>
              <w:spacing w:after="0"/>
              <w:rPr>
                <w:sz w:val="14"/>
                <w:szCs w:val="14"/>
                <w:color w:val="auto"/>
              </w:rPr>
            </w:pPr>
          </w:p>
        </w:tc>
        <w:tc>
          <w:tcPr>
            <w:tcW w:w="42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6,874</w:t>
            </w:r>
          </w:p>
        </w:tc>
      </w:tr>
      <w:tr>
        <w:trPr>
          <w:trHeight w:val="219"/>
        </w:trPr>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13,871</w:t>
            </w:r>
          </w:p>
        </w:tc>
      </w:tr>
      <w:tr>
        <w:trPr>
          <w:trHeight w:val="219"/>
        </w:trPr>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26,646</w:t>
            </w:r>
          </w:p>
        </w:tc>
      </w:tr>
      <w:tr>
        <w:trPr>
          <w:trHeight w:val="219"/>
        </w:trPr>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96,014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88,708</w:t>
            </w:r>
          </w:p>
        </w:tc>
      </w:tr>
      <w:tr>
        <w:trPr>
          <w:trHeight w:val="219"/>
        </w:trPr>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1,395</w:t>
            </w:r>
          </w:p>
        </w:tc>
      </w:tr>
      <w:tr>
        <w:trPr>
          <w:trHeight w:val="219"/>
        </w:trPr>
        <w:tc>
          <w:tcPr>
            <w:tcW w:w="4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9,667</w:t>
            </w:r>
          </w:p>
        </w:tc>
      </w:tr>
      <w:tr>
        <w:trPr>
          <w:trHeight w:val="219"/>
        </w:trPr>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6,668</w:t>
            </w:r>
          </w:p>
        </w:tc>
      </w:tr>
      <w:tr>
        <w:trPr>
          <w:trHeight w:val="35"/>
        </w:trPr>
        <w:tc>
          <w:tcPr>
            <w:tcW w:w="4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76"/>
        </w:trPr>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153,711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153,829</w:t>
            </w:r>
          </w:p>
        </w:tc>
      </w:tr>
      <w:tr>
        <w:trPr>
          <w:trHeight w:val="439"/>
        </w:trPr>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5,722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12,292</w:t>
            </w:r>
          </w:p>
        </w:tc>
      </w:tr>
      <w:tr>
        <w:trPr>
          <w:trHeight w:val="219"/>
        </w:trPr>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4,640</w:t>
            </w:r>
          </w:p>
        </w:tc>
      </w:tr>
      <w:tr>
        <w:trPr>
          <w:trHeight w:val="219"/>
        </w:trPr>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12,665</w:t>
            </w:r>
          </w:p>
        </w:tc>
      </w:tr>
      <w:tr>
        <w:trPr>
          <w:trHeight w:val="219"/>
        </w:trPr>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w:t>
            </w:r>
          </w:p>
        </w:tc>
      </w:tr>
      <w:tr>
        <w:trPr>
          <w:trHeight w:val="35"/>
        </w:trPr>
        <w:tc>
          <w:tcPr>
            <w:tcW w:w="4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76"/>
        </w:trPr>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177,307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183,566</w:t>
            </w:r>
          </w:p>
        </w:tc>
      </w:tr>
      <w:tr>
        <w:trPr>
          <w:trHeight w:val="35"/>
        </w:trPr>
        <w:tc>
          <w:tcPr>
            <w:tcW w:w="4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-3474720</wp:posOffset>
            </wp:positionH>
            <wp:positionV relativeFrom="paragraph">
              <wp:posOffset>-1973580</wp:posOffset>
            </wp:positionV>
            <wp:extent cx="5093970" cy="139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93970" cy="13906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-1694815</wp:posOffset>
            </wp:positionV>
            <wp:extent cx="5093970" cy="139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93970" cy="13906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-1416050</wp:posOffset>
            </wp:positionV>
            <wp:extent cx="5093970" cy="139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093970" cy="13906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-1137285</wp:posOffset>
            </wp:positionV>
            <wp:extent cx="5093970" cy="139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93970" cy="13906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-850900</wp:posOffset>
            </wp:positionV>
            <wp:extent cx="5093970" cy="139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93970" cy="13906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-572135</wp:posOffset>
            </wp:positionV>
            <wp:extent cx="5093970" cy="139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93970" cy="13906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-293370</wp:posOffset>
            </wp:positionV>
            <wp:extent cx="5093970" cy="139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93970" cy="13906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-6985</wp:posOffset>
            </wp:positionV>
            <wp:extent cx="5093970" cy="154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93970" cy="15494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371475</wp:posOffset>
            </wp:positionV>
            <wp:extent cx="5093970" cy="154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93970" cy="154940"/>
                    </a:xfrm>
                    <a:prstGeom prst="rect">
                      <a:avLst/>
                    </a:prstGeom>
                    <a:noFill/>
                  </pic:spPr>
                </pic:pic>
              </a:graphicData>
            </a:graphic>
          </wp:anchor>
        </w:drawing>
      </w:r>
    </w:p>
    <w:p>
      <w:pPr>
        <w:spacing w:after="0" w:line="586" w:lineRule="exact"/>
        <w:rPr>
          <w:sz w:val="20"/>
          <w:szCs w:val="20"/>
          <w:color w:val="auto"/>
        </w:rPr>
      </w:pPr>
    </w:p>
    <w:p>
      <w:pPr>
        <w:sectPr>
          <w:pgSz w:w="11900" w:h="16838" w:orient="portrait"/>
          <w:cols w:equalWidth="0" w:num="2">
            <w:col w:w="5240" w:space="720"/>
            <w:col w:w="3059"/>
          </w:cols>
          <w:pgMar w:left="1440" w:top="1048" w:right="1440" w:bottom="1440" w:gutter="0" w:footer="0" w:header="0"/>
          <w:type w:val="continuous"/>
        </w:sectPr>
      </w:pPr>
    </w:p>
    <w:p>
      <w:pPr>
        <w:spacing w:after="0" w:line="259" w:lineRule="exact"/>
        <w:rPr>
          <w:sz w:val="20"/>
          <w:szCs w:val="20"/>
          <w:color w:val="auto"/>
        </w:rPr>
      </w:pPr>
    </w:p>
    <w:tbl>
      <w:tblPr>
        <w:tblLayout w:type="fixed"/>
        <w:tblInd w:w="480" w:type="dxa"/>
        <w:tblCellMar>
          <w:top w:w="0" w:type="dxa"/>
          <w:left w:w="0" w:type="dxa"/>
          <w:bottom w:w="0" w:type="dxa"/>
          <w:right w:w="0" w:type="dxa"/>
        </w:tblCellMar>
      </w:tblPr>
      <w:tr>
        <w:trPr>
          <w:trHeight w:val="168"/>
        </w:trPr>
        <w:tc>
          <w:tcPr>
            <w:tcW w:w="5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Preferred Stock Series A-1, A-2, A-3 and A-4, $0.001 par value; 16,034,483 shares authorized;</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5"/>
        </w:trPr>
        <w:tc>
          <w:tcPr>
            <w:tcW w:w="5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99"/>
        </w:trPr>
        <w:tc>
          <w:tcPr>
            <w:tcW w:w="54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11,546,221 and 7,780,941 shares issued and outstanding, respectively. Aggregate liquidation</w:t>
            </w:r>
          </w:p>
        </w:tc>
        <w:tc>
          <w:tcPr>
            <w:tcW w:w="3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r>
      <w:tr>
        <w:trPr>
          <w:trHeight w:val="184"/>
        </w:trPr>
        <w:tc>
          <w:tcPr>
            <w:tcW w:w="54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preference of $267.680 and $251,900 June 30, 2024 and December 31, 2023, respectively</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267,680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251,900</w:t>
            </w:r>
          </w:p>
        </w:tc>
      </w:tr>
      <w:tr>
        <w:trPr>
          <w:trHeight w:val="35"/>
        </w:trPr>
        <w:tc>
          <w:tcPr>
            <w:tcW w:w="5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4"/>
        </w:trPr>
        <w:tc>
          <w:tcPr>
            <w:tcW w:w="54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184"/>
        </w:trPr>
        <w:tc>
          <w:tcPr>
            <w:tcW w:w="5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Stockholders’ deficit:</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69"/>
        </w:trPr>
        <w:tc>
          <w:tcPr>
            <w:tcW w:w="5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51"/>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Class A and Class B Common Stock, $0.001 par value; 253,933,170 shares authorized;</w:t>
            </w:r>
          </w:p>
        </w:tc>
        <w:tc>
          <w:tcPr>
            <w:tcW w:w="3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95"/>
        </w:trPr>
        <w:tc>
          <w:tcPr>
            <w:tcW w:w="5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100,000,000</w:t>
            </w: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r>
      <w:tr>
        <w:trPr>
          <w:trHeight w:val="184"/>
        </w:trPr>
        <w:tc>
          <w:tcPr>
            <w:tcW w:w="54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shares issued and outstanding as of June 30, 2024 and December 31, 2023, respectively</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35"/>
        </w:trPr>
        <w:tc>
          <w:tcPr>
            <w:tcW w:w="5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99"/>
        </w:trPr>
        <w:tc>
          <w:tcPr>
            <w:tcW w:w="5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Accumulated deficit</w:t>
            </w:r>
          </w:p>
        </w:tc>
        <w:tc>
          <w:tcPr>
            <w:tcW w:w="3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(258,813)</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(225,770)</w:t>
            </w:r>
          </w:p>
        </w:tc>
      </w:tr>
      <w:tr>
        <w:trPr>
          <w:trHeight w:val="184"/>
        </w:trPr>
        <w:tc>
          <w:tcPr>
            <w:tcW w:w="54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(1,901)</w:t>
            </w:r>
          </w:p>
        </w:tc>
      </w:tr>
      <w:tr>
        <w:trPr>
          <w:trHeight w:val="35"/>
        </w:trPr>
        <w:tc>
          <w:tcPr>
            <w:tcW w:w="54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12"/>
        </w:trPr>
        <w:tc>
          <w:tcPr>
            <w:tcW w:w="54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Total stockholders’ deficit</w:t>
            </w: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(261,323)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(227,571)</w:t>
            </w:r>
          </w:p>
        </w:tc>
      </w:tr>
      <w:tr>
        <w:trPr>
          <w:trHeight w:val="176"/>
        </w:trPr>
        <w:tc>
          <w:tcPr>
            <w:tcW w:w="548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Total liabilities, convertible redeemable preferred stock and stockholders’ deficit</w:t>
            </w:r>
          </w:p>
        </w:tc>
        <w:tc>
          <w:tcPr>
            <w:tcW w:w="36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183,664</w:t>
            </w:r>
          </w:p>
        </w:tc>
        <w:tc>
          <w:tcPr>
            <w:tcW w:w="100" w:type="dxa"/>
            <w:vAlign w:val="bottom"/>
          </w:tcPr>
          <w:p>
            <w:pPr>
              <w:spacing w:after="0"/>
              <w:rPr>
                <w:sz w:val="15"/>
                <w:szCs w:val="15"/>
                <w:color w:val="auto"/>
              </w:rPr>
            </w:pPr>
          </w:p>
        </w:tc>
        <w:tc>
          <w:tcPr>
            <w:tcW w:w="3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207,895</w:t>
            </w:r>
          </w:p>
        </w:tc>
      </w:tr>
      <w:tr>
        <w:trPr>
          <w:trHeight w:val="35"/>
        </w:trPr>
        <w:tc>
          <w:tcPr>
            <w:tcW w:w="54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0"/>
        </w:trPr>
        <w:tc>
          <w:tcPr>
            <w:tcW w:w="5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1048" w:right="1440" w:bottom="1440" w:gutter="0" w:footer="0" w:header="0"/>
          <w:type w:val="continuous"/>
        </w:sectPr>
      </w:pPr>
    </w:p>
    <w:bookmarkStart w:id="44" w:name="page45"/>
    <w:bookmarkEnd w:id="44"/>
    <w:p>
      <w:pPr>
        <w:ind w:left="2720"/>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3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LOSS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(Unaudited)</w:t>
      </w:r>
    </w:p>
    <w:p>
      <w:pPr>
        <w:spacing w:after="0" w:line="274"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46355</wp:posOffset>
            </wp:positionV>
            <wp:extent cx="193548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35480" cy="7620"/>
                    </a:xfrm>
                    <a:prstGeom prst="rect">
                      <a:avLst/>
                    </a:prstGeom>
                    <a:noFill/>
                  </pic:spPr>
                </pic:pic>
              </a:graphicData>
            </a:graphic>
          </wp:anchor>
        </w:drawing>
      </w:r>
    </w:p>
    <w:p>
      <w:pPr>
        <w:spacing w:after="0" w:line="83" w:lineRule="exact"/>
        <w:rPr>
          <w:sz w:val="20"/>
          <w:szCs w:val="20"/>
          <w:color w:val="auto"/>
        </w:rPr>
      </w:pPr>
    </w:p>
    <w:tbl>
      <w:tblPr>
        <w:tblLayout w:type="fixed"/>
        <w:tblInd w:w="520" w:type="dxa"/>
        <w:tblCellMar>
          <w:top w:w="0" w:type="dxa"/>
          <w:left w:w="0" w:type="dxa"/>
          <w:bottom w:w="0" w:type="dxa"/>
          <w:right w:w="0" w:type="dxa"/>
        </w:tblCellMar>
      </w:tblPr>
      <w:tr>
        <w:trPr>
          <w:trHeight w:val="213"/>
        </w:trPr>
        <w:tc>
          <w:tcPr>
            <w:tcW w:w="4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37"/>
        </w:trPr>
        <w:tc>
          <w:tcPr>
            <w:tcW w:w="49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46,812</w:t>
            </w:r>
          </w:p>
        </w:tc>
        <w:tc>
          <w:tcPr>
            <w:tcW w:w="0" w:type="dxa"/>
            <w:vAlign w:val="bottom"/>
          </w:tcPr>
          <w:p>
            <w:pPr>
              <w:spacing w:after="0"/>
              <w:rPr>
                <w:sz w:val="1"/>
                <w:szCs w:val="1"/>
                <w:color w:val="auto"/>
              </w:rPr>
            </w:pPr>
          </w:p>
        </w:tc>
      </w:tr>
      <w:tr>
        <w:trPr>
          <w:trHeight w:val="211"/>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49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Costs of revenues (exclusive of 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28,086</w:t>
            </w:r>
          </w:p>
        </w:tc>
        <w:tc>
          <w:tcPr>
            <w:tcW w:w="0" w:type="dxa"/>
            <w:vAlign w:val="bottom"/>
          </w:tcPr>
          <w:p>
            <w:pPr>
              <w:spacing w:after="0"/>
              <w:rPr>
                <w:sz w:val="1"/>
                <w:szCs w:val="1"/>
                <w:color w:val="auto"/>
              </w:rPr>
            </w:pPr>
          </w:p>
        </w:tc>
      </w:tr>
      <w:tr>
        <w:trPr>
          <w:trHeight w:val="231"/>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6,598</w:t>
            </w:r>
          </w:p>
        </w:tc>
        <w:tc>
          <w:tcPr>
            <w:tcW w:w="0" w:type="dxa"/>
            <w:vAlign w:val="bottom"/>
          </w:tcPr>
          <w:p>
            <w:pPr>
              <w:spacing w:after="0"/>
              <w:rPr>
                <w:sz w:val="1"/>
                <w:szCs w:val="1"/>
                <w:color w:val="auto"/>
              </w:rPr>
            </w:pPr>
          </w:p>
        </w:tc>
      </w:tr>
      <w:tr>
        <w:trPr>
          <w:trHeight w:val="37"/>
        </w:trPr>
        <w:tc>
          <w:tcPr>
            <w:tcW w:w="49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12,135</w:t>
            </w:r>
          </w:p>
        </w:tc>
        <w:tc>
          <w:tcPr>
            <w:tcW w:w="0" w:type="dxa"/>
            <w:vAlign w:val="bottom"/>
          </w:tcPr>
          <w:p>
            <w:pPr>
              <w:spacing w:after="0"/>
              <w:rPr>
                <w:sz w:val="1"/>
                <w:szCs w:val="1"/>
                <w:color w:val="auto"/>
              </w:rPr>
            </w:pPr>
          </w:p>
        </w:tc>
      </w:tr>
      <w:tr>
        <w:trPr>
          <w:trHeight w:val="231"/>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14,161</w:t>
            </w:r>
          </w:p>
        </w:tc>
        <w:tc>
          <w:tcPr>
            <w:tcW w:w="0" w:type="dxa"/>
            <w:vAlign w:val="bottom"/>
          </w:tcPr>
          <w:p>
            <w:pPr>
              <w:spacing w:after="0"/>
              <w:rPr>
                <w:sz w:val="1"/>
                <w:szCs w:val="1"/>
                <w:color w:val="auto"/>
              </w:rPr>
            </w:pPr>
          </w:p>
        </w:tc>
      </w:tr>
      <w:tr>
        <w:trPr>
          <w:trHeight w:val="37"/>
        </w:trPr>
        <w:tc>
          <w:tcPr>
            <w:tcW w:w="49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8"/>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6,026</w:t>
            </w: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60,899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67,006</w:t>
            </w:r>
          </w:p>
        </w:tc>
        <w:tc>
          <w:tcPr>
            <w:tcW w:w="0" w:type="dxa"/>
            <w:vAlign w:val="bottom"/>
          </w:tcPr>
          <w:p>
            <w:pPr>
              <w:spacing w:after="0"/>
              <w:rPr>
                <w:sz w:val="1"/>
                <w:szCs w:val="1"/>
                <w:color w:val="auto"/>
              </w:rPr>
            </w:pPr>
          </w:p>
        </w:tc>
      </w:tr>
      <w:tr>
        <w:trPr>
          <w:trHeight w:val="37"/>
        </w:trPr>
        <w:tc>
          <w:tcPr>
            <w:tcW w:w="49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4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from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(20,194)</w:t>
            </w:r>
          </w:p>
        </w:tc>
        <w:tc>
          <w:tcPr>
            <w:tcW w:w="0" w:type="dxa"/>
            <w:vAlign w:val="bottom"/>
          </w:tcPr>
          <w:p>
            <w:pPr>
              <w:spacing w:after="0"/>
              <w:rPr>
                <w:sz w:val="1"/>
                <w:szCs w:val="1"/>
                <w:color w:val="auto"/>
              </w:rPr>
            </w:pPr>
          </w:p>
        </w:tc>
      </w:tr>
      <w:tr>
        <w:trPr>
          <w:trHeight w:val="248"/>
        </w:trPr>
        <w:tc>
          <w:tcPr>
            <w:tcW w:w="49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4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37"/>
        </w:trPr>
        <w:tc>
          <w:tcPr>
            <w:tcW w:w="49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8"/>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(10,139)</w:t>
            </w:r>
          </w:p>
        </w:tc>
        <w:tc>
          <w:tcPr>
            <w:tcW w:w="0" w:type="dxa"/>
            <w:vAlign w:val="bottom"/>
          </w:tcPr>
          <w:p>
            <w:pPr>
              <w:spacing w:after="0"/>
              <w:rPr>
                <w:sz w:val="1"/>
                <w:szCs w:val="1"/>
                <w:color w:val="auto"/>
              </w:rPr>
            </w:pPr>
          </w:p>
        </w:tc>
      </w:tr>
      <w:tr>
        <w:trPr>
          <w:trHeight w:val="211"/>
        </w:trPr>
        <w:tc>
          <w:tcPr>
            <w:tcW w:w="4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(3,816)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(10,218)</w:t>
            </w:r>
          </w:p>
        </w:tc>
        <w:tc>
          <w:tcPr>
            <w:tcW w:w="0" w:type="dxa"/>
            <w:vAlign w:val="bottom"/>
          </w:tcPr>
          <w:p>
            <w:pPr>
              <w:spacing w:after="0"/>
              <w:rPr>
                <w:sz w:val="1"/>
                <w:szCs w:val="1"/>
                <w:color w:val="auto"/>
              </w:rPr>
            </w:pPr>
          </w:p>
        </w:tc>
      </w:tr>
      <w:tr>
        <w:trPr>
          <w:trHeight w:val="134"/>
        </w:trPr>
        <w:tc>
          <w:tcPr>
            <w:tcW w:w="4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49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49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(30,412)</w:t>
            </w:r>
          </w:p>
        </w:tc>
        <w:tc>
          <w:tcPr>
            <w:tcW w:w="0" w:type="dxa"/>
            <w:vAlign w:val="bottom"/>
          </w:tcPr>
          <w:p>
            <w:pPr>
              <w:spacing w:after="0"/>
              <w:rPr>
                <w:sz w:val="1"/>
                <w:szCs w:val="1"/>
                <w:color w:val="auto"/>
              </w:rPr>
            </w:pPr>
          </w:p>
        </w:tc>
      </w:tr>
      <w:tr>
        <w:trPr>
          <w:trHeight w:val="37"/>
        </w:trPr>
        <w:tc>
          <w:tcPr>
            <w:tcW w:w="49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(19,506)</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(30,643)</w:t>
            </w:r>
          </w:p>
        </w:tc>
        <w:tc>
          <w:tcPr>
            <w:tcW w:w="0" w:type="dxa"/>
            <w:vAlign w:val="bottom"/>
          </w:tcPr>
          <w:p>
            <w:pPr>
              <w:spacing w:after="0"/>
              <w:rPr>
                <w:sz w:val="1"/>
                <w:szCs w:val="1"/>
                <w:color w:val="auto"/>
              </w:rPr>
            </w:pPr>
          </w:p>
        </w:tc>
      </w:tr>
      <w:tr>
        <w:trPr>
          <w:trHeight w:val="37"/>
        </w:trPr>
        <w:tc>
          <w:tcPr>
            <w:tcW w:w="49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4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comprehensive loss</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(20,215)</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(31,568)</w:t>
            </w:r>
          </w:p>
        </w:tc>
        <w:tc>
          <w:tcPr>
            <w:tcW w:w="0" w:type="dxa"/>
            <w:vAlign w:val="bottom"/>
          </w:tcPr>
          <w:p>
            <w:pPr>
              <w:spacing w:after="0"/>
              <w:rPr>
                <w:sz w:val="1"/>
                <w:szCs w:val="1"/>
                <w:color w:val="auto"/>
              </w:rPr>
            </w:pPr>
          </w:p>
        </w:tc>
      </w:tr>
      <w:tr>
        <w:trPr>
          <w:trHeight w:val="37"/>
        </w:trPr>
        <w:tc>
          <w:tcPr>
            <w:tcW w:w="49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1048" w:right="1440" w:bottom="1440" w:gutter="0" w:footer="0" w:header="0"/>
        </w:sectPr>
      </w:pPr>
    </w:p>
    <w:bookmarkStart w:id="45" w:name="page46"/>
    <w:bookmarkEnd w:id="45"/>
    <w:p>
      <w:pPr>
        <w:ind w:left="3600"/>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CONVERTIBLE REDEEMABLE PREFERRED STOCK AND STOCKHOLDERS’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DEFICIT</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data)</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(Unaudited)</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113665</wp:posOffset>
            </wp:positionV>
            <wp:extent cx="632523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5235" cy="7620"/>
                    </a:xfrm>
                    <a:prstGeom prst="rect">
                      <a:avLst/>
                    </a:prstGeom>
                    <a:noFill/>
                  </pic:spPr>
                </pic:pic>
              </a:graphicData>
            </a:graphic>
          </wp:anchor>
        </w:drawing>
      </w:r>
    </w:p>
    <w:p>
      <w:pPr>
        <w:sectPr>
          <w:pgSz w:w="11900" w:h="16838" w:orient="portrait"/>
          <w:cols w:equalWidth="0" w:num="1">
            <w:col w:w="10760"/>
          </w:cols>
          <w:pgMar w:left="560" w:top="1048"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0"/>
          <w:szCs w:val="10"/>
          <w:b w:val="1"/>
          <w:bCs w:val="1"/>
          <w:color w:val="auto"/>
        </w:rPr>
        <w:t>Balance as of December 31, 2022</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0"/>
          <w:szCs w:val="10"/>
          <w:color w:val="auto"/>
        </w:rPr>
        <w:t>Cumulative translation adjustment</w:t>
      </w:r>
    </w:p>
    <w:p>
      <w:pPr>
        <w:spacing w:after="0" w:line="56" w:lineRule="exact"/>
        <w:rPr>
          <w:sz w:val="20"/>
          <w:szCs w:val="20"/>
          <w:color w:val="auto"/>
        </w:rPr>
      </w:pPr>
    </w:p>
    <w:p>
      <w:pPr>
        <w:ind w:left="420"/>
        <w:spacing w:after="0" w:line="417" w:lineRule="auto"/>
        <w:rPr>
          <w:sz w:val="20"/>
          <w:szCs w:val="20"/>
          <w:color w:val="auto"/>
        </w:rPr>
      </w:pPr>
      <w:r>
        <w:rPr>
          <w:rFonts w:ascii="Times New Roman" w:cs="Times New Roman" w:eastAsia="Times New Roman" w:hAnsi="Times New Roman"/>
          <w:sz w:val="10"/>
          <w:szCs w:val="10"/>
          <w:color w:val="auto"/>
        </w:rPr>
        <w:t>Accretion of Senior Series A preferred stock Net loss</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0"/>
          <w:szCs w:val="10"/>
          <w:b w:val="1"/>
          <w:bCs w:val="1"/>
          <w:color w:val="auto"/>
        </w:rPr>
        <w:t>Balance as of June 30, 2023</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1520" w:type="dxa"/>
            <w:vAlign w:val="bottom"/>
            <w:gridSpan w:val="4"/>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Senior Series A Preferred Stock</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61"/>
        </w:trPr>
        <w:tc>
          <w:tcPr>
            <w:tcW w:w="1520" w:type="dxa"/>
            <w:vAlign w:val="bottom"/>
            <w:gridSpan w:val="4"/>
            <w:vMerge w:val="continue"/>
          </w:tcPr>
          <w:p>
            <w:pPr>
              <w:spacing w:after="0"/>
              <w:rPr>
                <w:sz w:val="5"/>
                <w:szCs w:val="5"/>
                <w:color w:val="auto"/>
              </w:rPr>
            </w:pPr>
          </w:p>
        </w:tc>
        <w:tc>
          <w:tcPr>
            <w:tcW w:w="1500" w:type="dxa"/>
            <w:vAlign w:val="bottom"/>
            <w:tcBorders>
              <w:right w:val="single" w:sz="8" w:color="auto"/>
            </w:tcBorders>
            <w:gridSpan w:val="4"/>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Preferred Stock - Series A-4</w:t>
            </w:r>
          </w:p>
        </w:tc>
        <w:tc>
          <w:tcPr>
            <w:tcW w:w="100" w:type="dxa"/>
            <w:vAlign w:val="bottom"/>
          </w:tcPr>
          <w:p>
            <w:pPr>
              <w:spacing w:after="0"/>
              <w:rPr>
                <w:sz w:val="5"/>
                <w:szCs w:val="5"/>
                <w:color w:val="auto"/>
              </w:rPr>
            </w:pPr>
          </w:p>
        </w:tc>
        <w:tc>
          <w:tcPr>
            <w:tcW w:w="14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0"/>
                <w:szCs w:val="10"/>
                <w:b w:val="1"/>
                <w:bCs w:val="1"/>
                <w:color w:val="auto"/>
              </w:rPr>
              <w:t>Class B Common Stock</w:t>
            </w: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3"/>
              </w:rPr>
              <w:t>Other</w:t>
            </w: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tcBorders>
              <w:right w:val="single" w:sz="8" w:color="auto"/>
            </w:tcBorders>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Additional Paid-</w:t>
            </w:r>
          </w:p>
        </w:tc>
        <w:tc>
          <w:tcPr>
            <w:tcW w:w="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Accumulated</w:t>
            </w:r>
          </w:p>
        </w:tc>
        <w:tc>
          <w:tcPr>
            <w:tcW w:w="80" w:type="dxa"/>
            <w:vAlign w:val="bottom"/>
          </w:tcPr>
          <w:p>
            <w:pPr>
              <w:spacing w:after="0"/>
              <w:rPr>
                <w:sz w:val="6"/>
                <w:szCs w:val="6"/>
                <w:color w:val="auto"/>
              </w:rPr>
            </w:pPr>
          </w:p>
        </w:tc>
        <w:tc>
          <w:tcPr>
            <w:tcW w:w="700" w:type="dxa"/>
            <w:vAlign w:val="bottom"/>
            <w:vMerge w:val="restart"/>
          </w:tcPr>
          <w:p>
            <w:pPr>
              <w:jc w:val="center"/>
              <w:ind w:right="51"/>
              <w:spacing w:after="0"/>
              <w:rPr>
                <w:sz w:val="20"/>
                <w:szCs w:val="20"/>
                <w:color w:val="auto"/>
              </w:rPr>
            </w:pPr>
            <w:r>
              <w:rPr>
                <w:rFonts w:ascii="Times New Roman" w:cs="Times New Roman" w:eastAsia="Times New Roman" w:hAnsi="Times New Roman"/>
                <w:sz w:val="10"/>
                <w:szCs w:val="10"/>
                <w:b w:val="1"/>
                <w:bCs w:val="1"/>
                <w:color w:val="auto"/>
                <w:w w:val="95"/>
              </w:rPr>
              <w:t>Stockholders'</w:t>
            </w:r>
          </w:p>
        </w:tc>
        <w:tc>
          <w:tcPr>
            <w:tcW w:w="0" w:type="dxa"/>
            <w:vAlign w:val="bottom"/>
          </w:tcPr>
          <w:p>
            <w:pPr>
              <w:spacing w:after="0"/>
              <w:rPr>
                <w:sz w:val="1"/>
                <w:szCs w:val="1"/>
                <w:color w:val="auto"/>
              </w:rPr>
            </w:pPr>
          </w:p>
        </w:tc>
      </w:tr>
      <w:tr>
        <w:trPr>
          <w:trHeight w:val="61"/>
        </w:trPr>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8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In Capital</w:t>
            </w:r>
          </w:p>
        </w:tc>
        <w:tc>
          <w:tcPr>
            <w:tcW w:w="6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80" w:type="dxa"/>
            <w:vAlign w:val="bottom"/>
          </w:tcPr>
          <w:p>
            <w:pPr>
              <w:spacing w:after="0"/>
              <w:rPr>
                <w:sz w:val="5"/>
                <w:szCs w:val="5"/>
                <w:color w:val="auto"/>
              </w:rPr>
            </w:pPr>
          </w:p>
        </w:tc>
        <w:tc>
          <w:tcPr>
            <w:tcW w:w="700" w:type="dxa"/>
            <w:vAlign w:val="bottom"/>
            <w:vMerge w:val="restart"/>
          </w:tcPr>
          <w:p>
            <w:pPr>
              <w:jc w:val="center"/>
              <w:ind w:right="51"/>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0" w:type="dxa"/>
            <w:vAlign w:val="bottom"/>
          </w:tcPr>
          <w:p>
            <w:pPr>
              <w:spacing w:after="0"/>
              <w:rPr>
                <w:sz w:val="1"/>
                <w:szCs w:val="1"/>
                <w:color w:val="auto"/>
              </w:rPr>
            </w:pPr>
          </w:p>
        </w:tc>
      </w:tr>
      <w:tr>
        <w:trPr>
          <w:trHeight w:val="65"/>
        </w:trPr>
        <w:tc>
          <w:tcPr>
            <w:tcW w:w="7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Loss</w:t>
            </w:r>
          </w:p>
        </w:tc>
        <w:tc>
          <w:tcPr>
            <w:tcW w:w="8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720" w:type="dxa"/>
            <w:vAlign w:val="bottom"/>
            <w:vMerge w:val="restart"/>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80" w:type="dxa"/>
            <w:vAlign w:val="bottom"/>
          </w:tcPr>
          <w:p>
            <w:pPr>
              <w:spacing w:after="0"/>
              <w:rPr>
                <w:sz w:val="4"/>
                <w:szCs w:val="4"/>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700" w:type="dxa"/>
            <w:vAlign w:val="bottom"/>
            <w:vMerge w:val="restart"/>
          </w:tcPr>
          <w:p>
            <w:pPr>
              <w:ind w:left="2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60" w:type="dxa"/>
            <w:vAlign w:val="bottom"/>
          </w:tcPr>
          <w:p>
            <w:pPr>
              <w:spacing w:after="0"/>
              <w:rPr>
                <w:sz w:val="4"/>
                <w:szCs w:val="4"/>
                <w:color w:val="auto"/>
              </w:rPr>
            </w:pPr>
          </w:p>
        </w:tc>
        <w:tc>
          <w:tcPr>
            <w:tcW w:w="64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00" w:type="dxa"/>
            <w:vAlign w:val="bottom"/>
          </w:tcPr>
          <w:p>
            <w:pPr>
              <w:spacing w:after="0"/>
              <w:rPr>
                <w:sz w:val="4"/>
                <w:szCs w:val="4"/>
                <w:color w:val="auto"/>
              </w:rPr>
            </w:pPr>
          </w:p>
        </w:tc>
        <w:tc>
          <w:tcPr>
            <w:tcW w:w="780" w:type="dxa"/>
            <w:vAlign w:val="bottom"/>
            <w:vMerge w:val="restart"/>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7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7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Borders>
              <w:right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7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7,780,941</w:t>
            </w: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226,939</w:t>
            </w:r>
          </w:p>
        </w:tc>
        <w:tc>
          <w:tcPr>
            <w:tcW w:w="120" w:type="dxa"/>
            <w:vAlign w:val="bottom"/>
          </w:tcPr>
          <w:p>
            <w:pPr>
              <w:spacing w:after="0"/>
              <w:rPr>
                <w:sz w:val="11"/>
                <w:szCs w:val="11"/>
                <w:color w:val="auto"/>
              </w:rPr>
            </w:pPr>
          </w:p>
        </w:tc>
        <w:tc>
          <w:tcPr>
            <w:tcW w:w="70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100,000,000</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100</w:t>
            </w:r>
          </w:p>
        </w:tc>
        <w:tc>
          <w:tcPr>
            <w:tcW w:w="100" w:type="dxa"/>
            <w:vAlign w:val="bottom"/>
          </w:tcPr>
          <w:p>
            <w:pPr>
              <w:spacing w:after="0"/>
              <w:rPr>
                <w:sz w:val="11"/>
                <w:szCs w:val="11"/>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(134,379)</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(134,280)</w:t>
            </w:r>
          </w:p>
        </w:tc>
        <w:tc>
          <w:tcPr>
            <w:tcW w:w="0" w:type="dxa"/>
            <w:vAlign w:val="bottom"/>
          </w:tcPr>
          <w:p>
            <w:pPr>
              <w:spacing w:after="0"/>
              <w:rPr>
                <w:sz w:val="1"/>
                <w:szCs w:val="1"/>
                <w:color w:val="auto"/>
              </w:rPr>
            </w:pPr>
          </w:p>
        </w:tc>
      </w:tr>
      <w:tr>
        <w:trPr>
          <w:trHeight w:val="183"/>
        </w:trPr>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5"/>
                <w:szCs w:val="15"/>
                <w:color w:val="auto"/>
              </w:rPr>
            </w:pPr>
          </w:p>
        </w:tc>
        <w:tc>
          <w:tcPr>
            <w:tcW w:w="64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(925)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5"/>
                <w:szCs w:val="15"/>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(925)</w:t>
            </w:r>
          </w:p>
        </w:tc>
        <w:tc>
          <w:tcPr>
            <w:tcW w:w="0" w:type="dxa"/>
            <w:vAlign w:val="bottom"/>
          </w:tcPr>
          <w:p>
            <w:pPr>
              <w:spacing w:after="0"/>
              <w:rPr>
                <w:sz w:val="1"/>
                <w:szCs w:val="1"/>
                <w:color w:val="auto"/>
              </w:rPr>
            </w:pPr>
          </w:p>
        </w:tc>
      </w:tr>
      <w:tr>
        <w:trPr>
          <w:trHeight w:val="183"/>
        </w:trPr>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5"/>
                <w:szCs w:val="15"/>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12,342</w:t>
            </w:r>
          </w:p>
        </w:tc>
        <w:tc>
          <w:tcPr>
            <w:tcW w:w="120" w:type="dxa"/>
            <w:vAlign w:val="bottom"/>
          </w:tcPr>
          <w:p>
            <w:pPr>
              <w:spacing w:after="0"/>
              <w:rPr>
                <w:sz w:val="15"/>
                <w:szCs w:val="15"/>
                <w:color w:val="auto"/>
              </w:rPr>
            </w:pPr>
          </w:p>
        </w:tc>
        <w:tc>
          <w:tcPr>
            <w:tcW w:w="70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5"/>
                <w:szCs w:val="15"/>
                <w:color w:val="auto"/>
              </w:rPr>
            </w:pPr>
          </w:p>
        </w:tc>
        <w:tc>
          <w:tcPr>
            <w:tcW w:w="64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5"/>
                <w:szCs w:val="15"/>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(12,342)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(12,342)</w:t>
            </w:r>
          </w:p>
        </w:tc>
        <w:tc>
          <w:tcPr>
            <w:tcW w:w="0" w:type="dxa"/>
            <w:vAlign w:val="bottom"/>
          </w:tcPr>
          <w:p>
            <w:pPr>
              <w:spacing w:after="0"/>
              <w:rPr>
                <w:sz w:val="1"/>
                <w:szCs w:val="1"/>
                <w:color w:val="auto"/>
              </w:rPr>
            </w:pPr>
          </w:p>
        </w:tc>
      </w:tr>
      <w:tr>
        <w:trPr>
          <w:trHeight w:val="183"/>
        </w:trPr>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5"/>
                <w:szCs w:val="15"/>
                <w:color w:val="auto"/>
              </w:rPr>
            </w:pPr>
          </w:p>
        </w:tc>
        <w:tc>
          <w:tcPr>
            <w:tcW w:w="64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5"/>
                <w:szCs w:val="15"/>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5"/>
                <w:szCs w:val="15"/>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(30,643)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(30,643)</w:t>
            </w:r>
          </w:p>
        </w:tc>
        <w:tc>
          <w:tcPr>
            <w:tcW w:w="0" w:type="dxa"/>
            <w:vAlign w:val="bottom"/>
          </w:tcPr>
          <w:p>
            <w:pPr>
              <w:spacing w:after="0"/>
              <w:rPr>
                <w:sz w:val="1"/>
                <w:szCs w:val="1"/>
                <w:color w:val="auto"/>
              </w:rPr>
            </w:pPr>
          </w:p>
        </w:tc>
      </w:tr>
      <w:tr>
        <w:trPr>
          <w:trHeight w:val="45"/>
        </w:trPr>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7,780,941</w:t>
            </w:r>
          </w:p>
        </w:tc>
        <w:tc>
          <w:tcPr>
            <w:tcW w:w="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239,281</w:t>
            </w:r>
          </w:p>
        </w:tc>
        <w:tc>
          <w:tcPr>
            <w:tcW w:w="120" w:type="dxa"/>
            <w:vAlign w:val="bottom"/>
          </w:tcPr>
          <w:p>
            <w:pPr>
              <w:spacing w:after="0"/>
              <w:rPr>
                <w:sz w:val="11"/>
                <w:szCs w:val="11"/>
                <w:color w:val="auto"/>
              </w:rPr>
            </w:pPr>
          </w:p>
        </w:tc>
        <w:tc>
          <w:tcPr>
            <w:tcW w:w="70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right w:val="single" w:sz="8" w:color="auto"/>
            </w:tcBorders>
            <w:gridSpan w:val="2"/>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100,000,000</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100</w:t>
            </w:r>
          </w:p>
        </w:tc>
        <w:tc>
          <w:tcPr>
            <w:tcW w:w="100" w:type="dxa"/>
            <w:vAlign w:val="bottom"/>
          </w:tcPr>
          <w:p>
            <w:pPr>
              <w:spacing w:after="0"/>
              <w:rPr>
                <w:sz w:val="11"/>
                <w:szCs w:val="11"/>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(926)</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(177,364)</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(178,190)</w:t>
            </w:r>
          </w:p>
        </w:tc>
        <w:tc>
          <w:tcPr>
            <w:tcW w:w="0" w:type="dxa"/>
            <w:vAlign w:val="bottom"/>
          </w:tcPr>
          <w:p>
            <w:pPr>
              <w:spacing w:after="0"/>
              <w:rPr>
                <w:sz w:val="1"/>
                <w:szCs w:val="1"/>
                <w:color w:val="auto"/>
              </w:rPr>
            </w:pPr>
          </w:p>
        </w:tc>
      </w:tr>
      <w:tr>
        <w:trPr>
          <w:trHeight w:val="45"/>
        </w:trPr>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-1203325</wp:posOffset>
            </wp:positionH>
            <wp:positionV relativeFrom="paragraph">
              <wp:posOffset>-618490</wp:posOffset>
            </wp:positionV>
            <wp:extent cx="6325235" cy="1238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5235" cy="123825"/>
                    </a:xfrm>
                    <a:prstGeom prst="rect">
                      <a:avLst/>
                    </a:prstGeom>
                    <a:noFill/>
                  </pic:spPr>
                </pic:pic>
              </a:graphicData>
            </a:graphic>
          </wp:anchor>
        </w:drawing>
        <w:drawing>
          <wp:anchor simplePos="0" relativeHeight="251657728" behindDoc="1" locked="0" layoutInCell="0" allowOverlap="1">
            <wp:simplePos x="0" y="0"/>
            <wp:positionH relativeFrom="column">
              <wp:posOffset>-1203325</wp:posOffset>
            </wp:positionH>
            <wp:positionV relativeFrom="paragraph">
              <wp:posOffset>-378460</wp:posOffset>
            </wp:positionV>
            <wp:extent cx="6325235" cy="116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5235" cy="116205"/>
                    </a:xfrm>
                    <a:prstGeom prst="rect">
                      <a:avLst/>
                    </a:prstGeom>
                    <a:noFill/>
                  </pic:spPr>
                </pic:pic>
              </a:graphicData>
            </a:graphic>
          </wp:anchor>
        </w:drawing>
        <w:drawing>
          <wp:anchor simplePos="0" relativeHeight="251657728" behindDoc="1" locked="0" layoutInCell="0" allowOverlap="1">
            <wp:simplePos x="0" y="0"/>
            <wp:positionH relativeFrom="column">
              <wp:posOffset>-1203325</wp:posOffset>
            </wp:positionH>
            <wp:positionV relativeFrom="paragraph">
              <wp:posOffset>-146685</wp:posOffset>
            </wp:positionV>
            <wp:extent cx="6325235" cy="1314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5235" cy="131445"/>
                    </a:xfrm>
                    <a:prstGeom prst="rect">
                      <a:avLst/>
                    </a:prstGeom>
                    <a:noFill/>
                  </pic:spPr>
                </pic:pic>
              </a:graphicData>
            </a:graphic>
          </wp:anchor>
        </w:drawing>
        <w:drawing>
          <wp:anchor simplePos="0" relativeHeight="251657728" behindDoc="1" locked="0" layoutInCell="0" allowOverlap="1">
            <wp:simplePos x="0" y="0"/>
            <wp:positionH relativeFrom="column">
              <wp:posOffset>-1203325</wp:posOffset>
            </wp:positionH>
            <wp:positionV relativeFrom="paragraph">
              <wp:posOffset>77470</wp:posOffset>
            </wp:positionV>
            <wp:extent cx="6325235" cy="927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5235" cy="927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140"/>
            <w:col w:w="8460"/>
          </w:cols>
          <w:pgMar w:left="560" w:top="1048" w:right="579"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Six Months Ended June 30, 2024</w:t>
      </w:r>
    </w:p>
    <w:p>
      <w:pPr>
        <w:spacing w:after="0" w:line="159" w:lineRule="exact"/>
        <w:rPr>
          <w:sz w:val="20"/>
          <w:szCs w:val="20"/>
          <w:color w:val="auto"/>
        </w:rPr>
      </w:pPr>
    </w:p>
    <w:tbl>
      <w:tblPr>
        <w:tblLayout w:type="fixed"/>
        <w:tblInd w:w="400" w:type="dxa"/>
        <w:tblCellMar>
          <w:top w:w="0" w:type="dxa"/>
          <w:left w:w="0" w:type="dxa"/>
          <w:bottom w:w="0" w:type="dxa"/>
          <w:right w:w="0" w:type="dxa"/>
        </w:tblCellMar>
      </w:tblPr>
      <w:tr>
        <w:trPr>
          <w:trHeight w:val="145"/>
        </w:trPr>
        <w:tc>
          <w:tcPr>
            <w:tcW w:w="19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Senior Series A Preferred Stock</w:t>
            </w: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righ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vMerge w:val="restart"/>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61"/>
        </w:trPr>
        <w:tc>
          <w:tcPr>
            <w:tcW w:w="19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1500" w:type="dxa"/>
            <w:vAlign w:val="bottom"/>
            <w:tcBorders>
              <w:right w:val="single" w:sz="8" w:color="auto"/>
            </w:tcBorders>
            <w:gridSpan w:val="4"/>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Preferred Stock - Series A-4</w:t>
            </w:r>
          </w:p>
        </w:tc>
        <w:tc>
          <w:tcPr>
            <w:tcW w:w="100" w:type="dxa"/>
            <w:vAlign w:val="bottom"/>
          </w:tcPr>
          <w:p>
            <w:pPr>
              <w:spacing w:after="0"/>
              <w:rPr>
                <w:sz w:val="5"/>
                <w:szCs w:val="5"/>
                <w:color w:val="auto"/>
              </w:rPr>
            </w:pPr>
          </w:p>
        </w:tc>
        <w:tc>
          <w:tcPr>
            <w:tcW w:w="14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0"/>
                <w:szCs w:val="10"/>
                <w:b w:val="1"/>
                <w:bCs w:val="1"/>
                <w:color w:val="auto"/>
              </w:rPr>
              <w:t>Class B Common Stock</w:t>
            </w: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3"/>
              </w:rPr>
              <w:t>Other</w:t>
            </w: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1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tcBorders>
              <w:right w:val="single" w:sz="8" w:color="auto"/>
            </w:tcBorders>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Additional Paid-</w:t>
            </w:r>
          </w:p>
        </w:tc>
        <w:tc>
          <w:tcPr>
            <w:tcW w:w="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Accumulated</w:t>
            </w:r>
          </w:p>
        </w:tc>
        <w:tc>
          <w:tcPr>
            <w:tcW w:w="80" w:type="dxa"/>
            <w:vAlign w:val="bottom"/>
          </w:tcPr>
          <w:p>
            <w:pPr>
              <w:spacing w:after="0"/>
              <w:rPr>
                <w:sz w:val="6"/>
                <w:szCs w:val="6"/>
                <w:color w:val="auto"/>
              </w:rPr>
            </w:pPr>
          </w:p>
        </w:tc>
        <w:tc>
          <w:tcPr>
            <w:tcW w:w="700" w:type="dxa"/>
            <w:vAlign w:val="bottom"/>
            <w:vMerge w:val="restart"/>
          </w:tcPr>
          <w:p>
            <w:pPr>
              <w:jc w:val="center"/>
              <w:ind w:right="51"/>
              <w:spacing w:after="0"/>
              <w:rPr>
                <w:sz w:val="20"/>
                <w:szCs w:val="20"/>
                <w:color w:val="auto"/>
              </w:rPr>
            </w:pPr>
            <w:r>
              <w:rPr>
                <w:rFonts w:ascii="Times New Roman" w:cs="Times New Roman" w:eastAsia="Times New Roman" w:hAnsi="Times New Roman"/>
                <w:sz w:val="10"/>
                <w:szCs w:val="10"/>
                <w:b w:val="1"/>
                <w:bCs w:val="1"/>
                <w:color w:val="auto"/>
                <w:w w:val="95"/>
              </w:rPr>
              <w:t>Stockholders'</w:t>
            </w:r>
          </w:p>
        </w:tc>
        <w:tc>
          <w:tcPr>
            <w:tcW w:w="0" w:type="dxa"/>
            <w:vAlign w:val="bottom"/>
          </w:tcPr>
          <w:p>
            <w:pPr>
              <w:spacing w:after="0"/>
              <w:rPr>
                <w:sz w:val="1"/>
                <w:szCs w:val="1"/>
                <w:color w:val="auto"/>
              </w:rPr>
            </w:pPr>
          </w:p>
        </w:tc>
      </w:tr>
      <w:tr>
        <w:trPr>
          <w:trHeight w:val="61"/>
        </w:trPr>
        <w:tc>
          <w:tcPr>
            <w:tcW w:w="1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Comprehensive</w:t>
            </w:r>
          </w:p>
        </w:tc>
        <w:tc>
          <w:tcPr>
            <w:tcW w:w="8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1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In Capital</w:t>
            </w:r>
          </w:p>
        </w:tc>
        <w:tc>
          <w:tcPr>
            <w:tcW w:w="6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80" w:type="dxa"/>
            <w:vAlign w:val="bottom"/>
          </w:tcPr>
          <w:p>
            <w:pPr>
              <w:spacing w:after="0"/>
              <w:rPr>
                <w:sz w:val="5"/>
                <w:szCs w:val="5"/>
                <w:color w:val="auto"/>
              </w:rPr>
            </w:pPr>
          </w:p>
        </w:tc>
        <w:tc>
          <w:tcPr>
            <w:tcW w:w="700" w:type="dxa"/>
            <w:vAlign w:val="bottom"/>
            <w:vMerge w:val="restart"/>
          </w:tcPr>
          <w:p>
            <w:pPr>
              <w:jc w:val="center"/>
              <w:ind w:right="51"/>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0" w:type="dxa"/>
            <w:vAlign w:val="bottom"/>
          </w:tcPr>
          <w:p>
            <w:pPr>
              <w:spacing w:after="0"/>
              <w:rPr>
                <w:sz w:val="1"/>
                <w:szCs w:val="1"/>
                <w:color w:val="auto"/>
              </w:rPr>
            </w:pPr>
          </w:p>
        </w:tc>
      </w:tr>
      <w:tr>
        <w:trPr>
          <w:trHeight w:val="65"/>
        </w:trPr>
        <w:tc>
          <w:tcPr>
            <w:tcW w:w="190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Loss</w:t>
            </w:r>
          </w:p>
        </w:tc>
        <w:tc>
          <w:tcPr>
            <w:tcW w:w="8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1900" w:type="dxa"/>
            <w:vAlign w:val="bottom"/>
          </w:tcPr>
          <w:p>
            <w:pPr>
              <w:spacing w:after="0"/>
              <w:rPr>
                <w:sz w:val="4"/>
                <w:szCs w:val="4"/>
                <w:color w:val="auto"/>
              </w:rPr>
            </w:pPr>
          </w:p>
        </w:tc>
        <w:tc>
          <w:tcPr>
            <w:tcW w:w="720" w:type="dxa"/>
            <w:vAlign w:val="bottom"/>
            <w:vMerge w:val="restart"/>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80" w:type="dxa"/>
            <w:vAlign w:val="bottom"/>
          </w:tcPr>
          <w:p>
            <w:pPr>
              <w:spacing w:after="0"/>
              <w:rPr>
                <w:sz w:val="4"/>
                <w:szCs w:val="4"/>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700" w:type="dxa"/>
            <w:vAlign w:val="bottom"/>
            <w:vMerge w:val="restart"/>
          </w:tcPr>
          <w:p>
            <w:pPr>
              <w:jc w:val="right"/>
              <w:ind w:right="171"/>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60" w:type="dxa"/>
            <w:vAlign w:val="bottom"/>
          </w:tcPr>
          <w:p>
            <w:pPr>
              <w:spacing w:after="0"/>
              <w:rPr>
                <w:sz w:val="4"/>
                <w:szCs w:val="4"/>
                <w:color w:val="auto"/>
              </w:rPr>
            </w:pPr>
          </w:p>
        </w:tc>
        <w:tc>
          <w:tcPr>
            <w:tcW w:w="64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00" w:type="dxa"/>
            <w:vAlign w:val="bottom"/>
          </w:tcPr>
          <w:p>
            <w:pPr>
              <w:spacing w:after="0"/>
              <w:rPr>
                <w:sz w:val="4"/>
                <w:szCs w:val="4"/>
                <w:color w:val="auto"/>
              </w:rPr>
            </w:pPr>
          </w:p>
        </w:tc>
        <w:tc>
          <w:tcPr>
            <w:tcW w:w="780" w:type="dxa"/>
            <w:vAlign w:val="bottom"/>
            <w:vMerge w:val="restart"/>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7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19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Borders>
              <w:right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900" w:type="dxa"/>
            <w:vAlign w:val="bottom"/>
            <w:tcBorders>
              <w:bottom w:val="single" w:sz="8" w:color="CCEEFF"/>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right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as of December 31, 2023</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7,780,941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251,900</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100,000,000</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100</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(1,901)</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(225,770)</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(227,571)</w:t>
            </w:r>
          </w:p>
        </w:tc>
        <w:tc>
          <w:tcPr>
            <w:tcW w:w="0" w:type="dxa"/>
            <w:vAlign w:val="bottom"/>
          </w:tcPr>
          <w:p>
            <w:pPr>
              <w:spacing w:after="0"/>
              <w:rPr>
                <w:sz w:val="1"/>
                <w:szCs w:val="1"/>
                <w:color w:val="auto"/>
              </w:rPr>
            </w:pPr>
          </w:p>
        </w:tc>
      </w:tr>
      <w:tr>
        <w:trPr>
          <w:trHeight w:val="150"/>
        </w:trPr>
        <w:tc>
          <w:tcPr>
            <w:tcW w:w="1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3"/>
                <w:szCs w:val="13"/>
                <w:color w:val="auto"/>
              </w:rPr>
            </w:pPr>
          </w:p>
        </w:tc>
        <w:tc>
          <w:tcPr>
            <w:tcW w:w="6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3"/>
                <w:szCs w:val="13"/>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202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202</w:t>
            </w:r>
          </w:p>
        </w:tc>
        <w:tc>
          <w:tcPr>
            <w:tcW w:w="0" w:type="dxa"/>
            <w:vAlign w:val="bottom"/>
          </w:tcPr>
          <w:p>
            <w:pPr>
              <w:spacing w:after="0"/>
              <w:rPr>
                <w:sz w:val="1"/>
                <w:szCs w:val="1"/>
                <w:color w:val="auto"/>
              </w:rPr>
            </w:pPr>
          </w:p>
        </w:tc>
      </w:tr>
      <w:tr>
        <w:trPr>
          <w:trHeight w:val="33"/>
        </w:trPr>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Accretion of Senior Series A preferred stock</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13,739</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(202)</w:t>
            </w:r>
          </w:p>
        </w:tc>
        <w:tc>
          <w:tcPr>
            <w:tcW w:w="1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(13,539)</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(13,739)</w:t>
            </w:r>
          </w:p>
        </w:tc>
        <w:tc>
          <w:tcPr>
            <w:tcW w:w="0" w:type="dxa"/>
            <w:vAlign w:val="bottom"/>
          </w:tcPr>
          <w:p>
            <w:pPr>
              <w:spacing w:after="0"/>
              <w:rPr>
                <w:sz w:val="1"/>
                <w:szCs w:val="1"/>
                <w:color w:val="auto"/>
              </w:rPr>
            </w:pPr>
          </w:p>
        </w:tc>
      </w:tr>
      <w:tr>
        <w:trPr>
          <w:trHeight w:val="150"/>
        </w:trPr>
        <w:tc>
          <w:tcPr>
            <w:tcW w:w="1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Issuance of preferred stock to convert CVR</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3,765,280</w:t>
            </w:r>
          </w:p>
        </w:tc>
        <w:tc>
          <w:tcPr>
            <w:tcW w:w="160" w:type="dxa"/>
            <w:vAlign w:val="bottom"/>
          </w:tcPr>
          <w:p>
            <w:pPr>
              <w:spacing w:after="0"/>
              <w:rPr>
                <w:sz w:val="13"/>
                <w:szCs w:val="13"/>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2,041</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3"/>
                <w:szCs w:val="13"/>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3"/>
        </w:trPr>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Cumulative translation adjustment</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(709)</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(709)</w:t>
            </w:r>
          </w:p>
        </w:tc>
        <w:tc>
          <w:tcPr>
            <w:tcW w:w="0" w:type="dxa"/>
            <w:vAlign w:val="bottom"/>
          </w:tcPr>
          <w:p>
            <w:pPr>
              <w:spacing w:after="0"/>
              <w:rPr>
                <w:sz w:val="1"/>
                <w:szCs w:val="1"/>
                <w:color w:val="auto"/>
              </w:rPr>
            </w:pPr>
          </w:p>
        </w:tc>
      </w:tr>
      <w:tr>
        <w:trPr>
          <w:trHeight w:val="150"/>
        </w:trPr>
        <w:tc>
          <w:tcPr>
            <w:tcW w:w="19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3"/>
                <w:szCs w:val="13"/>
                <w:color w:val="auto"/>
              </w:rPr>
            </w:pPr>
          </w:p>
        </w:tc>
        <w:tc>
          <w:tcPr>
            <w:tcW w:w="6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3"/>
                <w:szCs w:val="13"/>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3"/>
                <w:szCs w:val="13"/>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(19,506)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(19,506)</w:t>
            </w:r>
          </w:p>
        </w:tc>
        <w:tc>
          <w:tcPr>
            <w:tcW w:w="0" w:type="dxa"/>
            <w:vAlign w:val="bottom"/>
          </w:tcPr>
          <w:p>
            <w:pPr>
              <w:spacing w:after="0"/>
              <w:rPr>
                <w:sz w:val="1"/>
                <w:szCs w:val="1"/>
                <w:color w:val="auto"/>
              </w:rPr>
            </w:pPr>
          </w:p>
        </w:tc>
      </w:tr>
      <w:tr>
        <w:trPr>
          <w:trHeight w:val="33"/>
        </w:trPr>
        <w:tc>
          <w:tcPr>
            <w:tcW w:w="19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as of June 30, 2024</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7,780,941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265,639</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3,765,280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2,041</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100,000,000</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100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(2,610)</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(258,813)</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(261,323)</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760"/>
          </w:cols>
          <w:pgMar w:left="560" w:top="1048" w:right="579" w:bottom="1440" w:gutter="0" w:footer="0" w:header="0"/>
          <w:type w:val="continuous"/>
        </w:sectPr>
      </w:pPr>
    </w:p>
    <w:bookmarkStart w:id="46" w:name="page47"/>
    <w:bookmarkEnd w:id="46"/>
    <w:p>
      <w:pPr>
        <w:ind w:left="2720"/>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35"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(Unaudited)</w:t>
      </w:r>
    </w:p>
    <w:p>
      <w:pPr>
        <w:spacing w:after="0" w:line="274"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5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3"/>
        </w:trPr>
        <w:tc>
          <w:tcPr>
            <w:tcW w:w="5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40" w:type="dxa"/>
            <w:vAlign w:val="bottom"/>
          </w:tcPr>
          <w:p>
            <w:pPr>
              <w:spacing w:after="0"/>
              <w:rPr>
                <w:sz w:val="18"/>
                <w:szCs w:val="18"/>
                <w:color w:val="auto"/>
              </w:rPr>
            </w:pPr>
          </w:p>
        </w:tc>
      </w:tr>
      <w:tr>
        <w:trPr>
          <w:trHeight w:val="50"/>
        </w:trPr>
        <w:tc>
          <w:tcPr>
            <w:tcW w:w="56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23"/>
        </w:trPr>
        <w:tc>
          <w:tcPr>
            <w:tcW w:w="5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7"/>
        </w:trPr>
        <w:tc>
          <w:tcPr>
            <w:tcW w:w="56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175"/>
        </w:trPr>
        <w:tc>
          <w:tcPr>
            <w:tcW w:w="5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8"/>
        </w:trPr>
        <w:tc>
          <w:tcPr>
            <w:tcW w:w="5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31"/>
        </w:trPr>
        <w:tc>
          <w:tcPr>
            <w:tcW w:w="5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(19,506)</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(30,643)</w:t>
            </w:r>
          </w:p>
        </w:tc>
      </w:tr>
      <w:tr>
        <w:trPr>
          <w:trHeight w:val="37"/>
        </w:trPr>
        <w:tc>
          <w:tcPr>
            <w:tcW w:w="5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48"/>
        </w:trPr>
        <w:tc>
          <w:tcPr>
            <w:tcW w:w="5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31"/>
        </w:trPr>
        <w:tc>
          <w:tcPr>
            <w:tcW w:w="5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37"/>
        </w:trPr>
        <w:tc>
          <w:tcPr>
            <w:tcW w:w="5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48"/>
        </w:trPr>
        <w:tc>
          <w:tcPr>
            <w:tcW w:w="5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deferred commissions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31"/>
        </w:trPr>
        <w:tc>
          <w:tcPr>
            <w:tcW w:w="5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5,998</w:t>
            </w:r>
          </w:p>
        </w:tc>
      </w:tr>
      <w:tr>
        <w:trPr>
          <w:trHeight w:val="37"/>
        </w:trPr>
        <w:tc>
          <w:tcPr>
            <w:tcW w:w="5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48"/>
        </w:trPr>
        <w:tc>
          <w:tcPr>
            <w:tcW w:w="5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operating ROU assets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231"/>
        </w:trPr>
        <w:tc>
          <w:tcPr>
            <w:tcW w:w="5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7"/>
        </w:trPr>
        <w:tc>
          <w:tcPr>
            <w:tcW w:w="5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48"/>
        </w:trPr>
        <w:tc>
          <w:tcPr>
            <w:tcW w:w="5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w:t>
            </w:r>
          </w:p>
        </w:tc>
      </w:tr>
      <w:tr>
        <w:trPr>
          <w:trHeight w:val="231"/>
        </w:trPr>
        <w:tc>
          <w:tcPr>
            <w:tcW w:w="5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paid-in-kind interest on debt due at maturity</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r>
      <w:tr>
        <w:trPr>
          <w:trHeight w:val="37"/>
        </w:trPr>
        <w:tc>
          <w:tcPr>
            <w:tcW w:w="5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48"/>
        </w:trPr>
        <w:tc>
          <w:tcPr>
            <w:tcW w:w="5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Payments of CVR</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(3,576)</w:t>
            </w:r>
          </w:p>
        </w:tc>
      </w:tr>
      <w:tr>
        <w:trPr>
          <w:trHeight w:val="231"/>
        </w:trPr>
        <w:tc>
          <w:tcPr>
            <w:tcW w:w="5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37"/>
        </w:trPr>
        <w:tc>
          <w:tcPr>
            <w:tcW w:w="5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48"/>
        </w:trPr>
        <w:tc>
          <w:tcPr>
            <w:tcW w:w="5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Changes in fair value of warrant and CVR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w:t>
            </w:r>
          </w:p>
        </w:tc>
      </w:tr>
      <w:tr>
        <w:trPr>
          <w:trHeight w:val="231"/>
        </w:trPr>
        <w:tc>
          <w:tcPr>
            <w:tcW w:w="5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37"/>
        </w:trPr>
        <w:tc>
          <w:tcPr>
            <w:tcW w:w="5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24"/>
        </w:trPr>
        <w:tc>
          <w:tcPr>
            <w:tcW w:w="5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r>
      <w:tr>
        <w:trPr>
          <w:trHeight w:val="231"/>
        </w:trPr>
        <w:tc>
          <w:tcPr>
            <w:tcW w:w="56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5,367</w:t>
            </w:r>
          </w:p>
        </w:tc>
      </w:tr>
      <w:tr>
        <w:trPr>
          <w:trHeight w:val="37"/>
        </w:trPr>
        <w:tc>
          <w:tcPr>
            <w:tcW w:w="5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48"/>
        </w:trPr>
        <w:tc>
          <w:tcPr>
            <w:tcW w:w="56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Other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r>
      <w:tr>
        <w:trPr>
          <w:trHeight w:val="231"/>
        </w:trPr>
        <w:tc>
          <w:tcPr>
            <w:tcW w:w="56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w:t>
            </w:r>
          </w:p>
        </w:tc>
      </w:tr>
      <w:tr>
        <w:trPr>
          <w:trHeight w:val="37"/>
        </w:trPr>
        <w:tc>
          <w:tcPr>
            <w:tcW w:w="5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48"/>
        </w:trPr>
        <w:tc>
          <w:tcPr>
            <w:tcW w:w="56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Deferred sales commissions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w:t>
            </w:r>
          </w:p>
        </w:tc>
      </w:tr>
      <w:tr>
        <w:trPr>
          <w:trHeight w:val="231"/>
        </w:trPr>
        <w:tc>
          <w:tcPr>
            <w:tcW w:w="56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Contract assets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r>
      <w:tr>
        <w:trPr>
          <w:trHeight w:val="37"/>
        </w:trPr>
        <w:tc>
          <w:tcPr>
            <w:tcW w:w="5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48"/>
        </w:trPr>
        <w:tc>
          <w:tcPr>
            <w:tcW w:w="56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(12,037)</w:t>
            </w:r>
          </w:p>
        </w:tc>
      </w:tr>
      <w:tr>
        <w:trPr>
          <w:trHeight w:val="231"/>
        </w:trPr>
        <w:tc>
          <w:tcPr>
            <w:tcW w:w="56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(6,726)</w:t>
            </w:r>
          </w:p>
        </w:tc>
      </w:tr>
      <w:tr>
        <w:trPr>
          <w:trHeight w:val="37"/>
        </w:trPr>
        <w:tc>
          <w:tcPr>
            <w:tcW w:w="5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48"/>
        </w:trPr>
        <w:tc>
          <w:tcPr>
            <w:tcW w:w="56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Due to related party</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w:t>
            </w:r>
          </w:p>
        </w:tc>
      </w:tr>
      <w:tr>
        <w:trPr>
          <w:trHeight w:val="231"/>
        </w:trPr>
        <w:tc>
          <w:tcPr>
            <w:tcW w:w="56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37"/>
        </w:trPr>
        <w:tc>
          <w:tcPr>
            <w:tcW w:w="5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48"/>
        </w:trPr>
        <w:tc>
          <w:tcPr>
            <w:tcW w:w="56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Deferred revenues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(4,113)</w:t>
            </w:r>
          </w:p>
        </w:tc>
      </w:tr>
      <w:tr>
        <w:trPr>
          <w:trHeight w:val="231"/>
        </w:trPr>
        <w:tc>
          <w:tcPr>
            <w:tcW w:w="56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r>
      <w:tr>
        <w:trPr>
          <w:trHeight w:val="37"/>
        </w:trPr>
        <w:tc>
          <w:tcPr>
            <w:tcW w:w="56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60"/>
        </w:trPr>
        <w:tc>
          <w:tcPr>
            <w:tcW w:w="56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(42,431)</w:t>
            </w:r>
          </w:p>
        </w:tc>
      </w:tr>
      <w:tr>
        <w:trPr>
          <w:trHeight w:val="224"/>
        </w:trPr>
        <w:tc>
          <w:tcPr>
            <w:tcW w:w="56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r>
      <w:tr>
        <w:trPr>
          <w:trHeight w:val="248"/>
        </w:trPr>
        <w:tc>
          <w:tcPr>
            <w:tcW w:w="5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31"/>
        </w:trPr>
        <w:tc>
          <w:tcPr>
            <w:tcW w:w="5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37"/>
        </w:trPr>
        <w:tc>
          <w:tcPr>
            <w:tcW w:w="56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60"/>
        </w:trPr>
        <w:tc>
          <w:tcPr>
            <w:tcW w:w="56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175"/>
        </w:trPr>
        <w:tc>
          <w:tcPr>
            <w:tcW w:w="56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231"/>
        </w:trPr>
        <w:tc>
          <w:tcPr>
            <w:tcW w:w="5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flows provided by financing activities:</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171"/>
        </w:trPr>
        <w:tc>
          <w:tcPr>
            <w:tcW w:w="5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231"/>
        </w:trPr>
        <w:tc>
          <w:tcPr>
            <w:tcW w:w="5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debt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7"/>
        </w:trPr>
        <w:tc>
          <w:tcPr>
            <w:tcW w:w="56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60"/>
        </w:trPr>
        <w:tc>
          <w:tcPr>
            <w:tcW w:w="56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56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Effect of exchange rate on cash</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w:t>
            </w:r>
          </w:p>
        </w:tc>
      </w:tr>
      <w:tr>
        <w:trPr>
          <w:trHeight w:val="37"/>
        </w:trPr>
        <w:tc>
          <w:tcPr>
            <w:tcW w:w="56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40"/>
        </w:trPr>
        <w:tc>
          <w:tcPr>
            <w:tcW w:w="56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(41,325)</w:t>
            </w:r>
          </w:p>
        </w:tc>
      </w:tr>
      <w:tr>
        <w:trPr>
          <w:trHeight w:val="231"/>
        </w:trPr>
        <w:tc>
          <w:tcPr>
            <w:tcW w:w="5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63,641</w:t>
            </w:r>
          </w:p>
        </w:tc>
      </w:tr>
      <w:tr>
        <w:trPr>
          <w:trHeight w:val="37"/>
        </w:trPr>
        <w:tc>
          <w:tcPr>
            <w:tcW w:w="56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79"/>
        </w:trPr>
        <w:tc>
          <w:tcPr>
            <w:tcW w:w="5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22,316</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131445</wp:posOffset>
            </wp:positionV>
            <wp:extent cx="5016500" cy="170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16500" cy="170180"/>
                    </a:xfrm>
                    <a:prstGeom prst="rect">
                      <a:avLst/>
                    </a:prstGeom>
                    <a:noFill/>
                  </pic:spPr>
                </pic:pic>
              </a:graphicData>
            </a:graphic>
          </wp:anchor>
        </w:drawing>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p>
      <w:pPr>
        <w:sectPr>
          <w:pgSz w:w="11900" w:h="16838" w:orient="portrait"/>
          <w:cols w:equalWidth="0" w:num="1">
            <w:col w:w="9019"/>
          </w:cols>
          <w:pgMar w:left="1440" w:top="1048" w:right="1440" w:bottom="1440" w:gutter="0" w:footer="0" w:header="0"/>
        </w:sectPr>
      </w:pPr>
    </w:p>
    <w:bookmarkStart w:id="47" w:name="page48"/>
    <w:bookmarkEnd w:id="47"/>
    <w:tbl>
      <w:tblPr>
        <w:tblLayout w:type="fixed"/>
        <w:tblInd w:w="540" w:type="dxa"/>
        <w:tblCellMar>
          <w:top w:w="0" w:type="dxa"/>
          <w:left w:w="0" w:type="dxa"/>
          <w:bottom w:w="0" w:type="dxa"/>
          <w:right w:w="0" w:type="dxa"/>
        </w:tblCellMar>
      </w:tblPr>
      <w:tr>
        <w:trPr>
          <w:trHeight w:val="248"/>
        </w:trPr>
        <w:tc>
          <w:tcPr>
            <w:tcW w:w="5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paid for interest</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7,299</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5,640</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82"/>
        </w:trPr>
        <w:tc>
          <w:tcPr>
            <w:tcW w:w="5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37"/>
        </w:trPr>
        <w:tc>
          <w:tcPr>
            <w:tcW w:w="5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Noncash operating lease activities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82"/>
        </w:trPr>
        <w:tc>
          <w:tcPr>
            <w:tcW w:w="5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Issuance of Series A-4 Preferred Stock to settle CVR liability</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37"/>
        </w:trPr>
        <w:tc>
          <w:tcPr>
            <w:tcW w:w="5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Accretion of Senior Series A Preferred Stock</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13,739</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12,342</w:t>
            </w:r>
          </w:p>
        </w:tc>
      </w:tr>
      <w:tr>
        <w:trPr>
          <w:trHeight w:val="20"/>
        </w:trPr>
        <w:tc>
          <w:tcPr>
            <w:tcW w:w="5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9019"/>
          </w:cols>
          <w:pgMar w:left="1440" w:top="916" w:right="1440"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NATURE OF BUSINESS AND ORGANIZATION</w:t>
      </w:r>
    </w:p>
    <w:p>
      <w:pPr>
        <w:spacing w:after="0" w:line="208" w:lineRule="exact"/>
        <w:rPr>
          <w:sz w:val="20"/>
          <w:szCs w:val="20"/>
          <w:color w:val="auto"/>
        </w:rPr>
      </w:pPr>
    </w:p>
    <w:p>
      <w:pPr>
        <w:jc w:val="both"/>
        <w:ind w:left="20" w:hanging="7"/>
        <w:spacing w:after="0" w:line="263" w:lineRule="auto"/>
        <w:rPr>
          <w:sz w:val="20"/>
          <w:szCs w:val="20"/>
          <w:color w:val="auto"/>
        </w:rPr>
      </w:pPr>
      <w:r>
        <w:rPr>
          <w:rFonts w:ascii="Times New Roman" w:cs="Times New Roman" w:eastAsia="Times New Roman" w:hAnsi="Times New Roman"/>
          <w:sz w:val="16"/>
          <w:szCs w:val="16"/>
          <w:color w:val="auto"/>
        </w:rPr>
        <w:t>Amelia Holdings, Inc. and subsidiaries, (“Amelia Holdings,” “we” or the “Company”), are involved in the development and delivery of artificial intelligence (AI) and automation solutions and related services, with a purpose to eliminate routine work and free human talent to focus on creating value through innovation. The Company’s headquarters are in New York, New York, and the Company currently has operations in North America, Europe, and the Asia-Pacific region. The Company offers software products and related services, serving a variety of industries including Financial Services, Insurance and Health Care. The Company’s focus is on software-based artificial intelligence product offerings and related services. The Company was incorporated in Delaware on August 19, 2022.</w:t>
      </w:r>
    </w:p>
    <w:p>
      <w:pPr>
        <w:spacing w:after="0" w:line="162" w:lineRule="exact"/>
        <w:rPr>
          <w:sz w:val="20"/>
          <w:szCs w:val="20"/>
          <w:color w:val="auto"/>
        </w:rPr>
      </w:pPr>
    </w:p>
    <w:p>
      <w:pPr>
        <w:jc w:val="both"/>
        <w:ind w:left="20" w:hanging="7"/>
        <w:spacing w:after="0" w:line="266" w:lineRule="auto"/>
        <w:rPr>
          <w:sz w:val="20"/>
          <w:szCs w:val="20"/>
          <w:color w:val="auto"/>
        </w:rPr>
      </w:pPr>
      <w:r>
        <w:rPr>
          <w:rFonts w:ascii="Times New Roman" w:cs="Times New Roman" w:eastAsia="Times New Roman" w:hAnsi="Times New Roman"/>
          <w:sz w:val="16"/>
          <w:szCs w:val="16"/>
          <w:color w:val="auto"/>
        </w:rPr>
        <w:t>Amelia, our AI-based digital resource solution, has been built around a set of business domains ranging from technology services to business workflow segments (Business Process as a Service). Our AI capabilities are embedded into the Amelia operating designs for supervised and unsupervised machine learning, reasoning (next-best-actions), and automated activities. By performing tasks previously performed by humans, Amelia serves as the blueprint for the “digital employee,” across physical and cloud-based technology infrastructure, applications, and workflows. Amelia products and solutions are sold directly, as well as through channel partners.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provides its offerings as either a Software-as-a-Service (“SaaS”) offering, or as a perpetual or term license if the customer requires an on-premise solution.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Maintenance and professional services are also offered with respect to the Company’s Amelia software product. The product portfolio consists of the following:</w:t>
      </w:r>
    </w:p>
    <w:p>
      <w:pPr>
        <w:spacing w:after="0" w:line="227" w:lineRule="exact"/>
        <w:rPr>
          <w:sz w:val="20"/>
          <w:szCs w:val="20"/>
          <w:color w:val="auto"/>
        </w:rPr>
      </w:pPr>
    </w:p>
    <w:p>
      <w:pPr>
        <w:jc w:val="both"/>
        <w:ind w:left="600" w:hanging="290"/>
        <w:spacing w:after="0" w:line="248" w:lineRule="auto"/>
        <w:tabs>
          <w:tab w:leader="none" w:pos="595"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Amelia Conversational AI – software-based labor units charged per session or per user basis that encompass tasks, activities, and operational routines. This is the next evolution of the chatbot, virtual assistant and robotic process automation models. Amelia Conversational AI are software run-time tasks that span application and workflow function points.</w:t>
      </w:r>
    </w:p>
    <w:p>
      <w:pPr>
        <w:spacing w:after="0" w:line="211" w:lineRule="exact"/>
        <w:rPr>
          <w:rFonts w:ascii="Times New Roman" w:cs="Times New Roman" w:eastAsia="Times New Roman" w:hAnsi="Times New Roman"/>
          <w:sz w:val="20"/>
          <w:szCs w:val="20"/>
          <w:color w:val="auto"/>
        </w:rPr>
      </w:pPr>
    </w:p>
    <w:p>
      <w:pPr>
        <w:jc w:val="both"/>
        <w:ind w:left="600" w:hanging="290"/>
        <w:spacing w:after="0" w:line="241" w:lineRule="auto"/>
        <w:tabs>
          <w:tab w:leader="none" w:pos="595"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AIOps – Information Technology (“IT”) focused framework and AI-platform. AIOps is a machine learning, data capture, digital operating environment focused on analysis of IT systems and orchestration of multiple operations automations. These solutions are constructed with reference designs of IT service management platforms, IT workflow orchestration, AI, technology/infrastructure data and cloud operating systems.</w:t>
      </w:r>
    </w:p>
    <w:p>
      <w:pPr>
        <w:spacing w:after="0" w:line="216" w:lineRule="exact"/>
        <w:rPr>
          <w:rFonts w:ascii="Times New Roman" w:cs="Times New Roman" w:eastAsia="Times New Roman" w:hAnsi="Times New Roman"/>
          <w:sz w:val="20"/>
          <w:szCs w:val="20"/>
          <w:color w:val="auto"/>
        </w:rPr>
      </w:pPr>
    </w:p>
    <w:p>
      <w:pPr>
        <w:jc w:val="both"/>
        <w:ind w:left="600" w:hanging="290"/>
        <w:spacing w:after="0" w:line="241" w:lineRule="auto"/>
        <w:tabs>
          <w:tab w:leader="none" w:pos="595"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DigitalFirst – offering of human equivalent service for autonomous business workflows and content/data intelligence, executed by digital agents first backed by human capital solutions, from which the digital employees learn continually. The solution is structured by digital agents built for various verticals, and re-balances human and machine interfaces through the life of the product utilization.</w:t>
      </w:r>
    </w:p>
    <w:p>
      <w:pPr>
        <w:spacing w:after="0" w:line="180" w:lineRule="exact"/>
        <w:rPr>
          <w:sz w:val="20"/>
          <w:szCs w:val="20"/>
          <w:color w:val="auto"/>
        </w:rPr>
      </w:pPr>
    </w:p>
    <w:p>
      <w:pPr>
        <w:ind w:left="20" w:hanging="7"/>
        <w:spacing w:after="0" w:line="289" w:lineRule="auto"/>
        <w:rPr>
          <w:sz w:val="20"/>
          <w:szCs w:val="20"/>
          <w:color w:val="auto"/>
        </w:rPr>
      </w:pPr>
      <w:r>
        <w:rPr>
          <w:rFonts w:ascii="Times New Roman" w:cs="Times New Roman" w:eastAsia="Times New Roman" w:hAnsi="Times New Roman"/>
          <w:sz w:val="16"/>
          <w:szCs w:val="16"/>
          <w:color w:val="auto"/>
        </w:rPr>
        <w:t>The focus of our Amelia software, whether it be embedded within a customer offering, or delivered through our product offerings, is to serve what we believe is a future in which a considerable number of existing tasks are to be performed by intelligent machines and systems.</w:t>
      </w:r>
    </w:p>
    <w:p>
      <w:pPr>
        <w:spacing w:after="0" w:line="142" w:lineRule="exact"/>
        <w:rPr>
          <w:sz w:val="20"/>
          <w:szCs w:val="20"/>
          <w:color w:val="auto"/>
        </w:rPr>
      </w:pPr>
    </w:p>
    <w:p>
      <w:pPr>
        <w:ind w:left="20" w:hanging="7"/>
        <w:spacing w:after="0" w:line="289" w:lineRule="auto"/>
        <w:rPr>
          <w:sz w:val="20"/>
          <w:szCs w:val="20"/>
          <w:color w:val="auto"/>
        </w:rPr>
      </w:pPr>
      <w:r>
        <w:rPr>
          <w:rFonts w:ascii="Times New Roman" w:cs="Times New Roman" w:eastAsia="Times New Roman" w:hAnsi="Times New Roman"/>
          <w:sz w:val="16"/>
          <w:szCs w:val="16"/>
          <w:color w:val="auto"/>
        </w:rPr>
        <w:t>On June 30, 2023, the holders of common stock executed a call option on the Senior Series A Preferred Stock (see Note 11). An agreement on that date between common stockholder and the holder of Senior Series A Preferred stock established:</w:t>
      </w:r>
    </w:p>
    <w:p>
      <w:pPr>
        <w:spacing w:after="0" w:line="179" w:lineRule="exact"/>
        <w:rPr>
          <w:sz w:val="20"/>
          <w:szCs w:val="20"/>
          <w:color w:val="auto"/>
        </w:rPr>
      </w:pPr>
    </w:p>
    <w:p>
      <w:pPr>
        <w:ind w:left="600" w:hanging="290"/>
        <w:spacing w:after="0" w:line="235" w:lineRule="auto"/>
        <w:tabs>
          <w:tab w:leader="none" w:pos="595"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There would be a period from the execution of the agreement, through March 31, 2024 within which to raise funds and complete a definitive agreement to affect the repurchase of Senior Series A Preferred Stock. If not completed, the effort would be deemed a Transaction Failure.</w:t>
      </w:r>
    </w:p>
    <w:p>
      <w:pPr>
        <w:spacing w:after="0" w:line="216" w:lineRule="exact"/>
        <w:rPr>
          <w:rFonts w:ascii="Times New Roman" w:cs="Times New Roman" w:eastAsia="Times New Roman" w:hAnsi="Times New Roman"/>
          <w:sz w:val="20"/>
          <w:szCs w:val="20"/>
          <w:color w:val="auto"/>
        </w:rPr>
      </w:pPr>
    </w:p>
    <w:p>
      <w:pPr>
        <w:ind w:left="600" w:hanging="290"/>
        <w:spacing w:after="0" w:line="235" w:lineRule="auto"/>
        <w:tabs>
          <w:tab w:leader="none" w:pos="595"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Upon a Transaction Failure, BuildGroup, as the holder of Senior Series A Preferred Stock would once again be authorized to buy up to $40 million of Series A-3 preferred stock, and the Company would be authorized to issue such preferred stock for a period of 90 days.</w:t>
      </w:r>
    </w:p>
    <w:p>
      <w:pPr>
        <w:sectPr>
          <w:pgSz w:w="11900" w:h="16838" w:orient="portrait"/>
          <w:cols w:equalWidth="0" w:num="1">
            <w:col w:w="11260"/>
          </w:cols>
          <w:pgMar w:left="300" w:top="511" w:right="33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00" w:hanging="290"/>
        <w:spacing w:after="0" w:line="235" w:lineRule="auto"/>
        <w:tabs>
          <w:tab w:leader="none" w:pos="595"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A Transaction Failure would result in a Drag-Along Trigger, allowing the holders of the majority of Senior Series A Preferred Stock to negotiate and complete a sale of the company at their discretion.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March 31, 2024, a Transaction Failure occurred.</w:t>
      </w:r>
    </w:p>
    <w:p>
      <w:pPr>
        <w:spacing w:after="0" w:line="206" w:lineRule="exact"/>
        <w:rPr>
          <w:sz w:val="20"/>
          <w:szCs w:val="20"/>
          <w:color w:val="auto"/>
        </w:rPr>
      </w:pPr>
    </w:p>
    <w:p>
      <w:pPr>
        <w:ind w:left="20" w:right="700"/>
        <w:spacing w:after="0" w:line="305" w:lineRule="auto"/>
        <w:rPr>
          <w:sz w:val="20"/>
          <w:szCs w:val="20"/>
          <w:color w:val="auto"/>
        </w:rPr>
      </w:pPr>
      <w:r>
        <w:rPr>
          <w:rFonts w:ascii="Times New Roman" w:cs="Times New Roman" w:eastAsia="Times New Roman" w:hAnsi="Times New Roman"/>
          <w:sz w:val="16"/>
          <w:szCs w:val="16"/>
          <w:color w:val="auto"/>
        </w:rPr>
        <w:t>The Transaction Failure resulted in a Drag-Along Trigger as noted above. Subsequent to the Drag-Along Trigger, The Company entered into a definitive purchase agreement and was acquired by SoundHound AI, Inc. (“SoundHound). The transaction was completed on August 6, 2024. (</w:t>
      </w:r>
      <w:r>
        <w:rPr>
          <w:rFonts w:ascii="Times New Roman" w:cs="Times New Roman" w:eastAsia="Times New Roman" w:hAnsi="Times New Roman"/>
          <w:sz w:val="16"/>
          <w:szCs w:val="16"/>
          <w:i w:val="1"/>
          <w:iCs w:val="1"/>
          <w:color w:val="auto"/>
        </w:rPr>
        <w:t>See Note 12)</w:t>
      </w:r>
    </w:p>
    <w:p>
      <w:pPr>
        <w:spacing w:after="0" w:line="1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 2. SUMMARY OF SIGNIFICANT ACCOUNTING POLICIES</w:t>
      </w:r>
    </w:p>
    <w:p>
      <w:pPr>
        <w:spacing w:after="0" w:line="224" w:lineRule="exact"/>
        <w:rPr>
          <w:sz w:val="20"/>
          <w:szCs w:val="20"/>
          <w:color w:val="auto"/>
        </w:rPr>
      </w:pPr>
    </w:p>
    <w:p>
      <w:pPr>
        <w:jc w:val="both"/>
        <w:ind w:left="20" w:right="280"/>
        <w:spacing w:after="0" w:line="249" w:lineRule="auto"/>
        <w:rPr>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6"/>
          <w:szCs w:val="16"/>
          <w:color w:val="auto"/>
        </w:rPr>
        <w:t>he Company disclosed its significant accounting policies in Note 2 – Summary of Significant Accounting Policies included in the Company’s annual 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6"/>
          <w:szCs w:val="16"/>
          <w:color w:val="auto"/>
        </w:rPr>
        <w:t>statements for the year ended December 31, 2023 included elsewhere in this filing. With the exception of the significant accounting policies disclosed below, there have been no material changes to the Company’s significant accounting policies disclosed in Note 2 – Summary of Significant Accounting Policies included in the Company’s annual financial statements for the year ended December 31,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Basis of Presentation</w:t>
      </w:r>
    </w:p>
    <w:p>
      <w:pPr>
        <w:spacing w:after="0" w:line="208" w:lineRule="exact"/>
        <w:rPr>
          <w:sz w:val="20"/>
          <w:szCs w:val="20"/>
          <w:color w:val="auto"/>
        </w:rPr>
      </w:pPr>
    </w:p>
    <w:p>
      <w:pPr>
        <w:jc w:val="both"/>
        <w:ind w:left="20" w:hanging="7"/>
        <w:spacing w:after="0" w:line="263" w:lineRule="auto"/>
        <w:rPr>
          <w:sz w:val="20"/>
          <w:szCs w:val="20"/>
          <w:color w:val="auto"/>
        </w:rPr>
      </w:pPr>
      <w:r>
        <w:rPr>
          <w:rFonts w:ascii="Times New Roman" w:cs="Times New Roman" w:eastAsia="Times New Roman" w:hAnsi="Times New Roman"/>
          <w:sz w:val="16"/>
          <w:szCs w:val="16"/>
          <w:color w:val="auto"/>
        </w:rPr>
        <w:t>The unaudited interim condensed consolidated financial statements have been prepared in accordance with U.S. generally accepted accounting principles (“U.S. GAAP”) and applicable rules and regulations of the SEC regarding interim financial reporting. Any reference in these notes to applicable accounting guidance is meant to refer to the authoritative U.S. GAAP included in the Accounting Standards Codification (“ASC”), and Accounting Standards Update (“ASU”) issued by the Financial Accounting Standards Board (“FASB”). The results of operations for the six months ended June 30, 2024 are not necessarily indicative of the results for the fiscal year ending December 31, 2024 or any future interim period.</w:t>
      </w:r>
    </w:p>
    <w:p>
      <w:pPr>
        <w:spacing w:after="0" w:line="187" w:lineRule="exact"/>
        <w:rPr>
          <w:sz w:val="20"/>
          <w:szCs w:val="20"/>
          <w:color w:val="auto"/>
        </w:rPr>
      </w:pPr>
    </w:p>
    <w:p>
      <w:pPr>
        <w:jc w:val="both"/>
        <w:ind w:left="20" w:hanging="7"/>
        <w:spacing w:after="0" w:line="289" w:lineRule="auto"/>
        <w:rPr>
          <w:sz w:val="20"/>
          <w:szCs w:val="20"/>
          <w:color w:val="auto"/>
        </w:rPr>
      </w:pPr>
      <w:r>
        <w:rPr>
          <w:rFonts w:ascii="Times New Roman" w:cs="Times New Roman" w:eastAsia="Times New Roman" w:hAnsi="Times New Roman"/>
          <w:sz w:val="16"/>
          <w:szCs w:val="16"/>
          <w:color w:val="auto"/>
        </w:rPr>
        <w:t>The accompanying condensed consolidated financial statements include the accounts of Amelia Holdings, Inc. and its wholly owned subsidiaries Certain prior year amounts have been reclassified to conform to the current year presentation.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Going Concern</w:t>
      </w:r>
    </w:p>
    <w:p>
      <w:pPr>
        <w:spacing w:after="0" w:line="220" w:lineRule="exact"/>
        <w:rPr>
          <w:sz w:val="20"/>
          <w:szCs w:val="20"/>
          <w:color w:val="auto"/>
        </w:rPr>
      </w:pPr>
    </w:p>
    <w:p>
      <w:pPr>
        <w:jc w:val="both"/>
        <w:ind w:left="20" w:hanging="7"/>
        <w:spacing w:after="0" w:line="259" w:lineRule="auto"/>
        <w:rPr>
          <w:sz w:val="20"/>
          <w:szCs w:val="20"/>
          <w:color w:val="auto"/>
        </w:rPr>
      </w:pPr>
      <w:r>
        <w:rPr>
          <w:rFonts w:ascii="Times New Roman" w:cs="Times New Roman" w:eastAsia="Times New Roman" w:hAnsi="Times New Roman"/>
          <w:sz w:val="16"/>
          <w:szCs w:val="16"/>
          <w:color w:val="auto"/>
        </w:rPr>
        <w:t>These financial statements have been prepared on the assumption that the Company will continue as a going concern, meaning it will continue in operation for the foreseeable future and will be able to realize assets and discharge liabilities in the ordinary course of operations. The Company has historically operated at a loss and has not consistently generated sufficient cash flows from operations to cover its operating and other cash expenses. These factors raise substantial doubt about the Company’s ability to continue as a going concern. The financial statements do not include any adjustments relating to the recoverability and classification of recorded assets, or the amounts or classification of liabilities that might be necessary in the event the Company cannot continue in existence. The Company’s operating losses, declining cash balance and corresponding need for funding has necessitated the need to explore potential avenues for raising capital through debt or equity. If the Company is unable to obtain additional financing, the lack of liquidity could have a material adverse effect on the Company’s future operating plans. The Company will continue to aggressively pursue available financing, work with customers to grow future sales and continue to control costs. While the Company believes in the viability of its strategy there can be no assurances to that effect.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Use of Estimates</w:t>
      </w:r>
    </w:p>
    <w:p>
      <w:pPr>
        <w:spacing w:after="0" w:line="220" w:lineRule="exact"/>
        <w:rPr>
          <w:sz w:val="20"/>
          <w:szCs w:val="20"/>
          <w:color w:val="auto"/>
        </w:rPr>
      </w:pPr>
    </w:p>
    <w:p>
      <w:pPr>
        <w:jc w:val="both"/>
        <w:ind w:left="20" w:hanging="7"/>
        <w:spacing w:after="0" w:line="289" w:lineRule="auto"/>
        <w:rPr>
          <w:sz w:val="20"/>
          <w:szCs w:val="20"/>
          <w:color w:val="auto"/>
        </w:rPr>
      </w:pPr>
      <w:r>
        <w:rPr>
          <w:rFonts w:ascii="Times New Roman" w:cs="Times New Roman" w:eastAsia="Times New Roman" w:hAnsi="Times New Roman"/>
          <w:sz w:val="16"/>
          <w:szCs w:val="16"/>
          <w:color w:val="auto"/>
        </w:rPr>
        <w:t>The preparation of condensed consolidated financial statements in conformity with U.S. GAAP requires management to make estimates, judgements and assumptions that affect the amounts reported in the condensed consolidated financial statements and accompanying notes.</w:t>
      </w:r>
    </w:p>
    <w:p>
      <w:pPr>
        <w:spacing w:after="0" w:line="154" w:lineRule="exact"/>
        <w:rPr>
          <w:sz w:val="20"/>
          <w:szCs w:val="20"/>
          <w:color w:val="auto"/>
        </w:rPr>
      </w:pPr>
    </w:p>
    <w:p>
      <w:pPr>
        <w:jc w:val="both"/>
        <w:ind w:left="20" w:hanging="7"/>
        <w:spacing w:after="0" w:line="271" w:lineRule="auto"/>
        <w:rPr>
          <w:sz w:val="20"/>
          <w:szCs w:val="20"/>
          <w:color w:val="auto"/>
        </w:rPr>
      </w:pPr>
      <w:r>
        <w:rPr>
          <w:rFonts w:ascii="Times New Roman" w:cs="Times New Roman" w:eastAsia="Times New Roman" w:hAnsi="Times New Roman"/>
          <w:sz w:val="16"/>
          <w:szCs w:val="16"/>
          <w:color w:val="auto"/>
        </w:rPr>
        <w:t>Management evaluates its estimates and assumptions on an ongoing basis using historical experience and other factors, including the current economic environment, which management believes to be reasonable under the circumstances. Such estimates include, but are not limited to, revenue recognition, the expected benefit period of deferred sales commissions,</w:t>
      </w:r>
    </w:p>
    <w:p>
      <w:pPr>
        <w:sectPr>
          <w:pgSz w:w="11900" w:h="16838" w:orient="portrait"/>
          <w:cols w:equalWidth="0" w:num="1">
            <w:col w:w="11260"/>
          </w:cols>
          <w:pgMar w:left="300" w:top="511"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6"/>
          <w:szCs w:val="16"/>
          <w:color w:val="auto"/>
        </w:rPr>
        <w:t>the accounting for accrued liabilities, the allowance for expected credit losses, purchase price allocation of acquired businesses, the valuation of intangible assets and goodwill, and the accounting for income taxes and the related valuation allowance.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 due to risks and uncertainties.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Revenue Recognition</w:t>
      </w:r>
    </w:p>
    <w:p>
      <w:pPr>
        <w:spacing w:after="0" w:line="208" w:lineRule="exact"/>
        <w:rPr>
          <w:sz w:val="20"/>
          <w:szCs w:val="20"/>
          <w:color w:val="auto"/>
        </w:rPr>
      </w:pPr>
    </w:p>
    <w:p>
      <w:pPr>
        <w:jc w:val="both"/>
        <w:ind w:left="20" w:right="20" w:hanging="7"/>
        <w:spacing w:after="0" w:line="266" w:lineRule="auto"/>
        <w:rPr>
          <w:sz w:val="20"/>
          <w:szCs w:val="20"/>
          <w:color w:val="auto"/>
        </w:rPr>
      </w:pPr>
      <w:r>
        <w:rPr>
          <w:rFonts w:ascii="Times New Roman" w:cs="Times New Roman" w:eastAsia="Times New Roman" w:hAnsi="Times New Roman"/>
          <w:sz w:val="16"/>
          <w:szCs w:val="16"/>
          <w:color w:val="auto"/>
        </w:rPr>
        <w:t>The Company derives revenues from the sale of access to its Amelia and AIOps platforms (“Amelia Software Platforms”) through licenses to its subscription-based software, access to its subscription services and professional service offerings. We recognize revenue in the amount that reflects the consideration we expect to receive in exchange for the sale of licenses, access to subscription services and professional service offerings when control of the promised products and services is transferred to our customers and the performance obligations under the contract have been satisfied.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 is recognized net of any taxes collected from customers, which are subsequently remitted to governmental entities (e.g., sales and other indirect taxes).</w:t>
      </w:r>
    </w:p>
    <w:p>
      <w:pPr>
        <w:spacing w:after="0" w:line="204" w:lineRule="exact"/>
        <w:rPr>
          <w:sz w:val="20"/>
          <w:szCs w:val="20"/>
          <w:color w:val="auto"/>
        </w:rPr>
      </w:pPr>
    </w:p>
    <w:p>
      <w:pPr>
        <w:jc w:val="both"/>
        <w:ind w:left="20" w:right="20" w:hanging="7"/>
        <w:spacing w:after="0" w:line="273" w:lineRule="auto"/>
        <w:rPr>
          <w:sz w:val="20"/>
          <w:szCs w:val="20"/>
          <w:color w:val="auto"/>
        </w:rPr>
      </w:pPr>
      <w:r>
        <w:rPr>
          <w:rFonts w:ascii="Times New Roman" w:cs="Times New Roman" w:eastAsia="Times New Roman" w:hAnsi="Times New Roman"/>
          <w:sz w:val="16"/>
          <w:szCs w:val="16"/>
          <w:color w:val="auto"/>
        </w:rPr>
        <w:t xml:space="preserve">The Company recognizes revenue under the five-step methodology required under ASC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(ASC 606), which requires the Company to identify the contract 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54" w:lineRule="exact"/>
        <w:rPr>
          <w:sz w:val="20"/>
          <w:szCs w:val="20"/>
          <w:color w:val="auto"/>
        </w:rPr>
      </w:pPr>
    </w:p>
    <w:p>
      <w:pPr>
        <w:jc w:val="both"/>
        <w:ind w:left="20" w:right="20" w:hanging="7"/>
        <w:spacing w:after="0" w:line="258" w:lineRule="auto"/>
        <w:rPr>
          <w:sz w:val="20"/>
          <w:szCs w:val="20"/>
          <w:color w:val="auto"/>
        </w:rPr>
      </w:pPr>
      <w:r>
        <w:rPr>
          <w:rFonts w:ascii="Times New Roman" w:cs="Times New Roman" w:eastAsia="Times New Roman" w:hAnsi="Times New Roman"/>
          <w:sz w:val="16"/>
          <w:szCs w:val="16"/>
          <w:color w:val="auto"/>
        </w:rPr>
        <w:t>The Company generally contracts with customers through order forms, which are governed by master sales agreements. The Company determines that it has a contract with a customer when the contract is approved, each party’s rights regarding the licenses, subscription or professional services to be transferred and the payment terms for these products and services can be identified, the Company has determined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reputation, and financial or other information pertaining to the customer. When a contract is entered into, the Company evaluates whether the contract is part of a larger arrangement and should be accounted for with other contracts and whether the combined or single contract includes more than one performance obligation. Contract modifications are routine in the performance of our contracts. Contracts are often modified to account for changes in the contract specifications, requirements, or duration. If a contract modification results in the addition of performance obligations priced at a standalone selling price or if the post-modification services are distinct from the services provided prior to the modification, the modification is accounted for separately. If the modified services are not distinct, they are accounted for as part of the existing contract.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Licenses</w:t>
      </w:r>
    </w:p>
    <w:p>
      <w:pPr>
        <w:spacing w:after="0" w:line="220" w:lineRule="exact"/>
        <w:rPr>
          <w:sz w:val="20"/>
          <w:szCs w:val="20"/>
          <w:color w:val="auto"/>
        </w:rPr>
      </w:pPr>
    </w:p>
    <w:p>
      <w:pPr>
        <w:jc w:val="both"/>
        <w:ind w:left="20" w:right="20" w:hanging="7"/>
        <w:spacing w:after="0" w:line="271" w:lineRule="auto"/>
        <w:rPr>
          <w:sz w:val="20"/>
          <w:szCs w:val="20"/>
          <w:color w:val="auto"/>
        </w:rPr>
      </w:pPr>
      <w:r>
        <w:rPr>
          <w:rFonts w:ascii="Times New Roman" w:cs="Times New Roman" w:eastAsia="Times New Roman" w:hAnsi="Times New Roman"/>
          <w:sz w:val="16"/>
          <w:szCs w:val="16"/>
          <w:color w:val="auto"/>
        </w:rPr>
        <w:t>Revenue related to licenses of our Amelia Software Platforms, which are primarily term licenses that provide customers the right to use our software products for a specified period of time, is recognized at the point in time when the license is made available to the customer, which is when transfer of control of the software license to the customer is complete. For license revenue, we invoice when the license(s) are provided or annually on a contract anniversary.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Subscriptions</w:t>
      </w:r>
    </w:p>
    <w:p>
      <w:pPr>
        <w:spacing w:after="0" w:line="220" w:lineRule="exact"/>
        <w:rPr>
          <w:sz w:val="20"/>
          <w:szCs w:val="20"/>
          <w:color w:val="auto"/>
        </w:rPr>
      </w:pPr>
    </w:p>
    <w:p>
      <w:pPr>
        <w:jc w:val="both"/>
        <w:ind w:left="20" w:right="20" w:hanging="7"/>
        <w:spacing w:after="0" w:line="263" w:lineRule="auto"/>
        <w:rPr>
          <w:sz w:val="20"/>
          <w:szCs w:val="20"/>
          <w:color w:val="auto"/>
        </w:rPr>
      </w:pPr>
      <w:r>
        <w:rPr>
          <w:rFonts w:ascii="Times New Roman" w:cs="Times New Roman" w:eastAsia="Times New Roman" w:hAnsi="Times New Roman"/>
          <w:sz w:val="16"/>
          <w:szCs w:val="16"/>
          <w:color w:val="auto"/>
        </w:rPr>
        <w:t>We generate subscription service revenue related to providing access to our Amelia Software Platforms (SaaS arrangements), for which customers do not have the contractual right to take possession of the underlying software without significant penalty, or for which it is not feasible for the customer to run the software on their own hardware or contract with a third-party to host the software. SaaS products are stand-ready obligations to provide access to our products, and the related revenue is recognized on a ratable basis over the contractual period of the arrangement, beginning on the date that product access is made available to the customer and as control of the service is transferred to the customer. We invoice for these contracts on a monthly, annual, or one-time basis in advance of the service being provided.</w:t>
      </w:r>
    </w:p>
    <w:p>
      <w:pPr>
        <w:sectPr>
          <w:pgSz w:w="11900" w:h="16838" w:orient="portrait"/>
          <w:cols w:equalWidth="0" w:num="1">
            <w:col w:w="11280"/>
          </w:cols>
          <w:pgMar w:left="300" w:top="511" w:right="31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20" w:right="20" w:hanging="7"/>
        <w:spacing w:after="0" w:line="266" w:lineRule="auto"/>
        <w:rPr>
          <w:sz w:val="20"/>
          <w:szCs w:val="20"/>
          <w:color w:val="auto"/>
        </w:rPr>
      </w:pPr>
      <w:r>
        <w:rPr>
          <w:rFonts w:ascii="Times New Roman" w:cs="Times New Roman" w:eastAsia="Times New Roman" w:hAnsi="Times New Roman"/>
          <w:sz w:val="16"/>
          <w:szCs w:val="16"/>
          <w:color w:val="auto"/>
        </w:rPr>
        <w:t>Subscription service revenue also includes ongoing customer support and maintenance, which are provided for license and SaaS arrangements and consists of technical support and the provision of unspecified updates and upgrades on a when-and-if-available basis. Ongoing customer support and maintenance represent stand-ready obligations for which revenue is recognized ratably over the term of the ongoing customer support and maintenance period. For ongoing customer support and maintenance services, we generally invoice customers annually in advance.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Professional Services and Other</w:t>
      </w:r>
    </w:p>
    <w:p>
      <w:pPr>
        <w:spacing w:after="0" w:line="208" w:lineRule="exact"/>
        <w:rPr>
          <w:sz w:val="20"/>
          <w:szCs w:val="20"/>
          <w:color w:val="auto"/>
        </w:rPr>
      </w:pPr>
    </w:p>
    <w:p>
      <w:pPr>
        <w:jc w:val="both"/>
        <w:ind w:left="20" w:right="20" w:hanging="7"/>
        <w:spacing w:after="0" w:line="271" w:lineRule="auto"/>
        <w:rPr>
          <w:sz w:val="20"/>
          <w:szCs w:val="20"/>
          <w:color w:val="auto"/>
        </w:rPr>
      </w:pPr>
      <w:r>
        <w:rPr>
          <w:rFonts w:ascii="Times New Roman" w:cs="Times New Roman" w:eastAsia="Times New Roman" w:hAnsi="Times New Roman"/>
          <w:sz w:val="16"/>
          <w:szCs w:val="16"/>
          <w:color w:val="auto"/>
        </w:rPr>
        <w:t>Professional services and other revenue include revenue from our Managed Services which are delivered by software engineers utilizing our Amelia Software Platforms and are comprised of a series of distinct services that are substantially the same and that have the same pattern of transfer (i.e., distinct days of service). We invoice customers for Managed Services on a monthly or quarterly basis and recognize revenue ratably over the period services are provided.</w:t>
      </w:r>
    </w:p>
    <w:p>
      <w:pPr>
        <w:spacing w:after="0" w:line="157" w:lineRule="exact"/>
        <w:rPr>
          <w:sz w:val="20"/>
          <w:szCs w:val="20"/>
          <w:color w:val="auto"/>
        </w:rPr>
      </w:pPr>
    </w:p>
    <w:p>
      <w:pPr>
        <w:jc w:val="both"/>
        <w:ind w:left="20" w:right="20" w:hanging="7"/>
        <w:spacing w:after="0" w:line="271" w:lineRule="auto"/>
        <w:rPr>
          <w:sz w:val="20"/>
          <w:szCs w:val="20"/>
          <w:color w:val="auto"/>
        </w:rPr>
      </w:pPr>
      <w:r>
        <w:rPr>
          <w:rFonts w:ascii="Times New Roman" w:cs="Times New Roman" w:eastAsia="Times New Roman" w:hAnsi="Times New Roman"/>
          <w:sz w:val="16"/>
          <w:szCs w:val="16"/>
          <w:color w:val="auto"/>
        </w:rPr>
        <w:t>Additionally, professional services consist of consulting services and implementation services sold in conjunction with licenses and subscription services. Professional services may also include testing/go-live support, development/deployment of use cases and training. These professional services are provided on either a time-and-material basis or as a fixed-price contract and revenue is recognized over time as the services are delivered.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Contract Assets and Liabilities</w:t>
      </w:r>
    </w:p>
    <w:p>
      <w:pPr>
        <w:spacing w:after="0" w:line="208" w:lineRule="exact"/>
        <w:rPr>
          <w:sz w:val="20"/>
          <w:szCs w:val="20"/>
          <w:color w:val="auto"/>
        </w:rPr>
      </w:pPr>
    </w:p>
    <w:p>
      <w:pPr>
        <w:jc w:val="both"/>
        <w:ind w:left="20" w:hanging="7"/>
        <w:spacing w:after="0" w:line="266" w:lineRule="auto"/>
        <w:rPr>
          <w:sz w:val="20"/>
          <w:szCs w:val="20"/>
          <w:color w:val="auto"/>
        </w:rPr>
      </w:pPr>
      <w:r>
        <w:rPr>
          <w:rFonts w:ascii="Times New Roman" w:cs="Times New Roman" w:eastAsia="Times New Roman" w:hAnsi="Times New Roman"/>
          <w:sz w:val="16"/>
          <w:szCs w:val="16"/>
          <w:color w:val="auto"/>
        </w:rPr>
        <w:t>The timing of revenue recognition may differ from the timing of invoicing to customers, and these timing differences result in receivables, contract assets (unbilled revenue), or contract liabilities (deferred revenue) on the Company’s condensed consolidated balance sheets. The Company records receivables related to revenue when it has an unconditional right to invoice and receive payment from customers. The Company records unbilled revenue when revenue is recognized prior to invoicing and the Company does not have the unconditional right to invoice or performance risk remains with relation to satisfying the performance obligation.</w:t>
      </w:r>
    </w:p>
    <w:p>
      <w:pPr>
        <w:spacing w:after="0" w:line="160" w:lineRule="exact"/>
        <w:rPr>
          <w:sz w:val="20"/>
          <w:szCs w:val="20"/>
          <w:color w:val="auto"/>
        </w:rPr>
      </w:pPr>
    </w:p>
    <w:p>
      <w:pPr>
        <w:jc w:val="both"/>
        <w:ind w:left="20" w:right="20" w:hanging="7"/>
        <w:spacing w:after="0" w:line="271" w:lineRule="auto"/>
        <w:rPr>
          <w:sz w:val="20"/>
          <w:szCs w:val="20"/>
          <w:color w:val="auto"/>
        </w:rPr>
      </w:pPr>
      <w:r>
        <w:rPr>
          <w:rFonts w:ascii="Times New Roman" w:cs="Times New Roman" w:eastAsia="Times New Roman" w:hAnsi="Times New Roman"/>
          <w:sz w:val="16"/>
          <w:szCs w:val="16"/>
          <w:color w:val="auto"/>
        </w:rPr>
        <w:t>Deferred revenue primarily consists of customer billings or payments received in advance of revenues being recognized from customer contracts, including non-cancellable and non-refundable committed funds and refundable customer deposits. Deferred revenue that is anticipated to be recognized during the succeeding twelve-month period is recorded as current deferred revenue and the remaining portion is recorded as non-current.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Operating Expenses</w:t>
      </w:r>
    </w:p>
    <w:p>
      <w:pPr>
        <w:spacing w:after="0" w:line="220" w:lineRule="exact"/>
        <w:rPr>
          <w:sz w:val="20"/>
          <w:szCs w:val="20"/>
          <w:color w:val="auto"/>
        </w:rPr>
      </w:pPr>
    </w:p>
    <w:p>
      <w:pPr>
        <w:jc w:val="both"/>
        <w:ind w:left="20" w:right="20" w:hanging="10"/>
        <w:spacing w:after="0" w:line="289" w:lineRule="auto"/>
        <w:rPr>
          <w:sz w:val="20"/>
          <w:szCs w:val="20"/>
          <w:color w:val="auto"/>
        </w:rPr>
      </w:pPr>
      <w:r>
        <w:rPr>
          <w:rFonts w:ascii="Times New Roman" w:cs="Times New Roman" w:eastAsia="Times New Roman" w:hAnsi="Times New Roman"/>
          <w:sz w:val="16"/>
          <w:szCs w:val="16"/>
          <w:color w:val="auto"/>
        </w:rPr>
        <w:t>The Company’s operating expense categories include cost of revenues, research and development, sales and marketing, general and administrative and depreciation and amortization.</w:t>
      </w:r>
    </w:p>
    <w:p>
      <w:pPr>
        <w:spacing w:after="0" w:line="142" w:lineRule="exact"/>
        <w:rPr>
          <w:sz w:val="20"/>
          <w:szCs w:val="20"/>
          <w:color w:val="auto"/>
        </w:rPr>
      </w:pPr>
    </w:p>
    <w:p>
      <w:pPr>
        <w:jc w:val="both"/>
        <w:ind w:left="20" w:right="20" w:hanging="10"/>
        <w:spacing w:after="0" w:line="263" w:lineRule="auto"/>
        <w:rPr>
          <w:sz w:val="20"/>
          <w:szCs w:val="20"/>
          <w:color w:val="auto"/>
        </w:rPr>
      </w:pPr>
      <w:r>
        <w:rPr>
          <w:rFonts w:ascii="Times New Roman" w:cs="Times New Roman" w:eastAsia="Times New Roman" w:hAnsi="Times New Roman"/>
          <w:sz w:val="16"/>
          <w:szCs w:val="16"/>
          <w:color w:val="auto"/>
        </w:rPr>
        <w:t>The Company’s cost of revenues are comprised of costs associated directly with Amelia’s revenue streams as described above. This primarily includes cost related to hosting for cloud-based services such as network management, and certain personnel-related expenses, including salaries, benefits and bonuses, that are directly related to these revenue streams.</w:t>
      </w:r>
    </w:p>
    <w:p>
      <w:pPr>
        <w:spacing w:after="0" w:line="163" w:lineRule="exact"/>
        <w:rPr>
          <w:sz w:val="20"/>
          <w:szCs w:val="20"/>
          <w:color w:val="auto"/>
        </w:rPr>
      </w:pPr>
    </w:p>
    <w:p>
      <w:pPr>
        <w:jc w:val="both"/>
        <w:ind w:left="20" w:right="20" w:hanging="10"/>
        <w:spacing w:after="0" w:line="266" w:lineRule="auto"/>
        <w:rPr>
          <w:sz w:val="20"/>
          <w:szCs w:val="20"/>
          <w:color w:val="auto"/>
        </w:rPr>
      </w:pPr>
      <w:r>
        <w:rPr>
          <w:rFonts w:ascii="Times New Roman" w:cs="Times New Roman" w:eastAsia="Times New Roman" w:hAnsi="Times New Roman"/>
          <w:sz w:val="16"/>
          <w:szCs w:val="16"/>
          <w:color w:val="auto"/>
        </w:rPr>
        <w:t>Research and development activities consist of personnel-related expenses directly associated with development activities such as continued improvement and conceptualizing use cases, costs associated with technological supplies and data center capacity used for research and development purposes. The Company expenses research and development costs associated with the design and development of new products prior to the establishment of their technological feasibility in the periods in which they are incurred.</w:t>
      </w:r>
    </w:p>
    <w:p>
      <w:pPr>
        <w:spacing w:after="0" w:line="160" w:lineRule="exact"/>
        <w:rPr>
          <w:sz w:val="20"/>
          <w:szCs w:val="20"/>
          <w:color w:val="auto"/>
        </w:rPr>
      </w:pPr>
    </w:p>
    <w:p>
      <w:pPr>
        <w:jc w:val="both"/>
        <w:ind w:left="20" w:right="20" w:hanging="10"/>
        <w:spacing w:after="0" w:line="289" w:lineRule="auto"/>
        <w:rPr>
          <w:sz w:val="20"/>
          <w:szCs w:val="20"/>
          <w:color w:val="auto"/>
        </w:rPr>
      </w:pPr>
      <w:r>
        <w:rPr>
          <w:rFonts w:ascii="Times New Roman" w:cs="Times New Roman" w:eastAsia="Times New Roman" w:hAnsi="Times New Roman"/>
          <w:sz w:val="16"/>
          <w:szCs w:val="16"/>
          <w:color w:val="auto"/>
        </w:rPr>
        <w:t>Sales and marketing activities are directed toward both the acquisition of new customers and increasing the Company’s business with existing customers. Sales and marketing activities are primarily comprised of personnel-related costs associated with sales and marketing staff, as well as commissions paid to sales employees.</w:t>
      </w:r>
    </w:p>
    <w:p>
      <w:pPr>
        <w:spacing w:after="0" w:line="130" w:lineRule="exact"/>
        <w:rPr>
          <w:sz w:val="20"/>
          <w:szCs w:val="20"/>
          <w:color w:val="auto"/>
        </w:rPr>
      </w:pPr>
    </w:p>
    <w:p>
      <w:pPr>
        <w:jc w:val="both"/>
        <w:ind w:left="20" w:right="20" w:hanging="10"/>
        <w:spacing w:after="0" w:line="289" w:lineRule="auto"/>
        <w:rPr>
          <w:sz w:val="20"/>
          <w:szCs w:val="20"/>
          <w:color w:val="auto"/>
        </w:rPr>
      </w:pPr>
      <w:r>
        <w:rPr>
          <w:rFonts w:ascii="Times New Roman" w:cs="Times New Roman" w:eastAsia="Times New Roman" w:hAnsi="Times New Roman"/>
          <w:sz w:val="16"/>
          <w:szCs w:val="16"/>
          <w:color w:val="auto"/>
        </w:rPr>
        <w:t>General and administrative activities are comprised of professional fees, general corporate and facility costs and overhead, including personnel-related expenses for executive, finance legal and human resources activities.</w:t>
      </w:r>
    </w:p>
    <w:p>
      <w:pPr>
        <w:sectPr>
          <w:pgSz w:w="11900" w:h="16838" w:orient="portrait"/>
          <w:cols w:equalWidth="0" w:num="1">
            <w:col w:w="11280"/>
          </w:cols>
          <w:pgMar w:left="300" w:top="511" w:right="31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Depreciation and amortization include depreciation of the Company’s infrastructure and equipment and amortization of intangible assets.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Foreign Currency</w:t>
      </w:r>
    </w:p>
    <w:p>
      <w:pPr>
        <w:spacing w:after="0" w:line="220"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The functional currency of each of the Company’s international subsidiaries is its local currency. Accounts of foreign operations are translated into U.S. dollars using exchange rates for assets and liabilities at the balance sheet date and average prevailing exchange rates for the period for revenue and expense accounts.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Adjustments resulting from translation are included in accumulated other comprehensive income (loss).</w:t>
      </w:r>
    </w:p>
    <w:p>
      <w:pPr>
        <w:spacing w:after="0" w:line="206"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Realized and unrealized transaction gains and losses are included in our condensed consolidated statements of operations in the period in which they occur. The Company recognized net foreign currency gains (losses) of $0.4 million, and $(0.5) million for the six months ended June 30, 2024 and 2023,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Concentration of Credit Risk and Significant Customers</w:t>
      </w:r>
    </w:p>
    <w:p>
      <w:pPr>
        <w:spacing w:after="0" w:line="220" w:lineRule="exact"/>
        <w:rPr>
          <w:sz w:val="20"/>
          <w:szCs w:val="20"/>
          <w:color w:val="auto"/>
        </w:rPr>
      </w:pPr>
    </w:p>
    <w:p>
      <w:pPr>
        <w:jc w:val="both"/>
        <w:ind w:left="20" w:hanging="7"/>
        <w:spacing w:after="0" w:line="264"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significant concentrations of credit risk consist primarily of cash and cash equivalents, and accounts receivable.</w:t>
      </w:r>
    </w:p>
    <w:p>
      <w:pPr>
        <w:spacing w:after="0" w:line="383"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All the Company’s customers consist of corporate and governmental entities. A limited number of customers have accounted for a large part of the Company’s revenue and accounts receivable to date. The Company provides credit to its customers in the normal course of business and requires no collateral to secure accounts receivable.</w:t>
      </w:r>
    </w:p>
    <w:p>
      <w:pPr>
        <w:spacing w:after="0" w:line="142"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As of June 30, 2024 and December 31, 2023, no customer accounted for more than 10% and one customer accounted for 11.6% of the Company’s accounts receivable, respectively. No single customer accounted for more than 10% of the Company’s revenue for the six months ended June 30, 2024 and 2023,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Recent Accounting Pronouncements – Not Yet Adopted</w:t>
      </w:r>
    </w:p>
    <w:p>
      <w:pPr>
        <w:spacing w:after="0" w:line="208" w:lineRule="exact"/>
        <w:rPr>
          <w:sz w:val="20"/>
          <w:szCs w:val="20"/>
          <w:color w:val="auto"/>
        </w:rPr>
      </w:pPr>
    </w:p>
    <w:p>
      <w:pPr>
        <w:jc w:val="both"/>
        <w:ind w:left="20" w:right="20" w:hanging="10"/>
        <w:spacing w:after="0" w:line="263" w:lineRule="auto"/>
        <w:rPr>
          <w:sz w:val="20"/>
          <w:szCs w:val="20"/>
          <w:color w:val="auto"/>
        </w:rPr>
      </w:pPr>
      <w:r>
        <w:rPr>
          <w:rFonts w:ascii="Times New Roman" w:cs="Times New Roman" w:eastAsia="Times New Roman" w:hAnsi="Times New Roman"/>
          <w:sz w:val="16"/>
          <w:szCs w:val="16"/>
          <w:color w:val="auto"/>
        </w:rPr>
        <w:t>In December 2023, the Financial Accounting Standards Board issued Accounting Standards Update No. 2023-09, which requires more detailed income tax disclosures. The guidance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The standard is effective for fiscal years beginning after December 15, 2024, with early adoption permitted. The Company is currently evaluating the impact that the updated standard will have on the financial statement disclosures.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AMELIA BUSINESS COMBINATION</w:t>
      </w:r>
    </w:p>
    <w:p>
      <w:pPr>
        <w:spacing w:after="0" w:line="206" w:lineRule="exact"/>
        <w:rPr>
          <w:sz w:val="20"/>
          <w:szCs w:val="20"/>
          <w:color w:val="auto"/>
        </w:rPr>
      </w:pPr>
    </w:p>
    <w:p>
      <w:pPr>
        <w:jc w:val="both"/>
        <w:ind w:left="20" w:hanging="7"/>
        <w:spacing w:after="0" w:line="260" w:lineRule="auto"/>
        <w:rPr>
          <w:sz w:val="20"/>
          <w:szCs w:val="20"/>
          <w:color w:val="auto"/>
        </w:rPr>
      </w:pPr>
      <w:r>
        <w:rPr>
          <w:rFonts w:ascii="Times New Roman" w:cs="Times New Roman" w:eastAsia="Times New Roman" w:hAnsi="Times New Roman"/>
          <w:sz w:val="16"/>
          <w:szCs w:val="16"/>
          <w:color w:val="auto"/>
        </w:rPr>
        <w:t xml:space="preserve">The Reorganization discussed in </w:t>
      </w:r>
      <w:r>
        <w:rPr>
          <w:rFonts w:ascii="Times New Roman" w:cs="Times New Roman" w:eastAsia="Times New Roman" w:hAnsi="Times New Roman"/>
          <w:sz w:val="16"/>
          <w:szCs w:val="16"/>
          <w:i w:val="1"/>
          <w:iCs w:val="1"/>
          <w:color w:val="auto"/>
        </w:rPr>
        <w:t>Note 1. Nature of Business and Organization</w:t>
      </w:r>
      <w:r>
        <w:rPr>
          <w:rFonts w:ascii="Times New Roman" w:cs="Times New Roman" w:eastAsia="Times New Roman" w:hAnsi="Times New Roman"/>
          <w:sz w:val="16"/>
          <w:szCs w:val="16"/>
          <w:color w:val="auto"/>
        </w:rPr>
        <w:t xml:space="preserve"> was accounted for by Amelia Holdings in accordance with the acquisition method of accounting pursuant to ASC 805 as Amelia Holdings obtained a controlling financial interest in Amelia and Amelia constitutes a business with inputs, processes, and outputs. Topic 805 requires the Company to recognize acquired assets, including identifiable intangible assets and all assumed liabilities, at fair value on the acquisition date. Determining the fair value of assets acquired and liabilities assumed requires management’s judgment and often involves the use of significant estimates and assumptions, including assumptions with respect to future cash flows, discount rates and asset lives. The fair value of assets deemed acquired and liabilities assumed was determined based on assumptions that reasonable market participants would use in the principal (or most advantageous) market for the asset or liability. The excess of the fair value of purchase consideration over the values of these identifiable assets and liabilities is recorded as goodwill.</w:t>
      </w:r>
    </w:p>
    <w:p>
      <w:pPr>
        <w:spacing w:after="0" w:line="167" w:lineRule="exact"/>
        <w:rPr>
          <w:sz w:val="20"/>
          <w:szCs w:val="20"/>
          <w:color w:val="auto"/>
        </w:rPr>
      </w:pPr>
    </w:p>
    <w:p>
      <w:pPr>
        <w:jc w:val="both"/>
        <w:ind w:left="20" w:right="20" w:hanging="7"/>
        <w:spacing w:after="0" w:line="271" w:lineRule="auto"/>
        <w:rPr>
          <w:sz w:val="20"/>
          <w:szCs w:val="20"/>
          <w:color w:val="auto"/>
        </w:rPr>
      </w:pPr>
      <w:r>
        <w:rPr>
          <w:rFonts w:ascii="Times New Roman" w:cs="Times New Roman" w:eastAsia="Times New Roman" w:hAnsi="Times New Roman"/>
          <w:sz w:val="16"/>
          <w:szCs w:val="16"/>
          <w:color w:val="auto"/>
        </w:rPr>
        <w:t>The Company is amortizing the acquired identifiable definite-lived intangible assets over their estimated useful lives from the acquisition date, which is consistent with the estimated useful life considerations used in determining their fair values. During the six months ended June 30, 2024 and 2023 the Company recorded approximately $6.1 million and $6.0 million of amortization expense on the acquired intangible assets, respectively. The estimated aggregate amortization expense for</w:t>
      </w:r>
    </w:p>
    <w:p>
      <w:pPr>
        <w:sectPr>
          <w:pgSz w:w="11900" w:h="16838" w:orient="portrait"/>
          <w:cols w:equalWidth="0" w:num="1">
            <w:col w:w="11280"/>
          </w:cols>
          <w:pgMar w:left="300" w:top="511" w:right="31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20"/>
        <w:spacing w:after="0" w:line="289" w:lineRule="auto"/>
        <w:rPr>
          <w:sz w:val="20"/>
          <w:szCs w:val="20"/>
          <w:color w:val="auto"/>
        </w:rPr>
      </w:pPr>
      <w:r>
        <w:rPr>
          <w:rFonts w:ascii="Times New Roman" w:cs="Times New Roman" w:eastAsia="Times New Roman" w:hAnsi="Times New Roman"/>
          <w:sz w:val="16"/>
          <w:szCs w:val="16"/>
          <w:color w:val="auto"/>
        </w:rPr>
        <w:t>each of the five succeeding fiscal years is approximately $11.9 million in each year. The weighted-average amortization period is approximately 5.7 years. The Amelia Business Combination did not result in a material step-up in the tax basis of any of the acquired assets (including Goodwill) for U.S. federal income tax purposes.</w:t>
      </w:r>
    </w:p>
    <w:p>
      <w:pPr>
        <w:spacing w:after="0" w:line="142" w:lineRule="exact"/>
        <w:rPr>
          <w:sz w:val="20"/>
          <w:szCs w:val="20"/>
          <w:color w:val="auto"/>
        </w:rPr>
      </w:pPr>
    </w:p>
    <w:p>
      <w:pPr>
        <w:jc w:val="both"/>
        <w:ind w:left="20" w:hanging="7"/>
        <w:spacing w:after="0" w:line="266" w:lineRule="auto"/>
        <w:rPr>
          <w:sz w:val="20"/>
          <w:szCs w:val="20"/>
          <w:color w:val="auto"/>
        </w:rPr>
      </w:pPr>
      <w:r>
        <w:rPr>
          <w:rFonts w:ascii="Times New Roman" w:cs="Times New Roman" w:eastAsia="Times New Roman" w:hAnsi="Times New Roman"/>
          <w:sz w:val="16"/>
          <w:szCs w:val="16"/>
          <w:color w:val="auto"/>
        </w:rPr>
        <w:t>As part of the purchase consideration transferred, the Company entered into a Contingent Value Right (“CVR”) Agreement (“CVR Agreement”) with the Predecessor Parent with a stated value of $40.0 million. The stated value of the CVR is reduced by lease payments that the Company will make on behalf of the Predecessor Parent until the earlier of the date a Qualified Financing, as defined in the CVR Agreement, occurs, or June 30, 2023. The remaining stated value of the CVR after any lease payments will be satisfied as follows:</w:t>
      </w:r>
    </w:p>
    <w:p>
      <w:pPr>
        <w:spacing w:after="0" w:line="160" w:lineRule="exact"/>
        <w:rPr>
          <w:sz w:val="20"/>
          <w:szCs w:val="20"/>
          <w:color w:val="auto"/>
        </w:rPr>
      </w:pPr>
    </w:p>
    <w:p>
      <w:pPr>
        <w:ind w:left="600" w:hanging="290"/>
        <w:spacing w:after="0"/>
        <w:tabs>
          <w:tab w:leader="none" w:pos="6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payment to the Predecessor Parent upon receipt of proceeds from any Qualified Financing.</w:t>
      </w:r>
    </w:p>
    <w:p>
      <w:pPr>
        <w:spacing w:after="0" w:line="206" w:lineRule="exact"/>
        <w:rPr>
          <w:rFonts w:ascii="Times New Roman" w:cs="Times New Roman" w:eastAsia="Times New Roman" w:hAnsi="Times New Roman"/>
          <w:sz w:val="16"/>
          <w:szCs w:val="16"/>
          <w:color w:val="auto"/>
        </w:rPr>
      </w:pPr>
    </w:p>
    <w:p>
      <w:pPr>
        <w:ind w:left="600" w:hanging="290"/>
        <w:spacing w:after="0" w:line="264" w:lineRule="auto"/>
        <w:tabs>
          <w:tab w:leader="none" w:pos="58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Qualified Financing does not occur, the Company will issue Series A-4 Preferred Stock on June 30, 2023, based on the remaining stated value divided by $9.69.</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determined that the fair value of the CVR issued as part of the overall purchase consideration was $10.6 million as of December 21,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June 30, 2023, the Company separately modified the CVR Agreement with its Predecessor Parent. The significant modifications were as follows:</w:t>
      </w:r>
    </w:p>
    <w:p>
      <w:pPr>
        <w:spacing w:after="0" w:line="206" w:lineRule="exact"/>
        <w:rPr>
          <w:sz w:val="20"/>
          <w:szCs w:val="20"/>
          <w:color w:val="auto"/>
        </w:rPr>
      </w:pPr>
    </w:p>
    <w:p>
      <w:pPr>
        <w:ind w:left="600" w:hanging="290"/>
        <w:spacing w:after="0"/>
        <w:tabs>
          <w:tab w:leader="none" w:pos="6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CVR stated valued was increased by $3.6 million.</w:t>
      </w:r>
    </w:p>
    <w:p>
      <w:pPr>
        <w:spacing w:after="0" w:line="206" w:lineRule="exact"/>
        <w:rPr>
          <w:rFonts w:ascii="Times New Roman" w:cs="Times New Roman" w:eastAsia="Times New Roman" w:hAnsi="Times New Roman"/>
          <w:sz w:val="16"/>
          <w:szCs w:val="16"/>
          <w:color w:val="auto"/>
        </w:rPr>
      </w:pPr>
    </w:p>
    <w:p>
      <w:pPr>
        <w:ind w:left="600" w:hanging="290"/>
        <w:spacing w:after="0" w:line="289" w:lineRule="auto"/>
        <w:tabs>
          <w:tab w:leader="none" w:pos="589"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extended the period of time in which it funded the lease payments on behalf of the Predecessor Parent through December 31, 2023. These lease payments reduced the amended CVR balance through December 31, 2023.</w:t>
      </w:r>
    </w:p>
    <w:p>
      <w:pPr>
        <w:spacing w:after="0" w:line="142" w:lineRule="exact"/>
        <w:rPr>
          <w:rFonts w:ascii="Times New Roman" w:cs="Times New Roman" w:eastAsia="Times New Roman" w:hAnsi="Times New Roman"/>
          <w:sz w:val="16"/>
          <w:szCs w:val="16"/>
          <w:color w:val="auto"/>
        </w:rPr>
      </w:pPr>
    </w:p>
    <w:p>
      <w:pPr>
        <w:jc w:val="both"/>
        <w:ind w:left="600" w:hanging="290"/>
        <w:spacing w:after="0" w:line="271" w:lineRule="auto"/>
        <w:tabs>
          <w:tab w:leader="none" w:pos="589"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original conversion date of the CVR to Series A-4 of June 30, 2023, was modified to set a termination date at the earlier of the CVR amount reducing to zero or the date on which the Company issues either a promissory note or Series A-4 Preferred Stock to settle the CVR. The issuance of Series A-4 Preferred Stock was to occur thirty days after a Transaction Failure as defined in the agreements.</w:t>
      </w:r>
    </w:p>
    <w:p>
      <w:pPr>
        <w:spacing w:after="0" w:line="157" w:lineRule="exact"/>
        <w:rPr>
          <w:rFonts w:ascii="Times New Roman" w:cs="Times New Roman" w:eastAsia="Times New Roman" w:hAnsi="Times New Roman"/>
          <w:sz w:val="16"/>
          <w:szCs w:val="16"/>
          <w:color w:val="auto"/>
        </w:rPr>
      </w:pPr>
    </w:p>
    <w:p>
      <w:pPr>
        <w:ind w:left="600" w:hanging="290"/>
        <w:spacing w:after="0"/>
        <w:tabs>
          <w:tab w:leader="none" w:pos="6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agreement regarding subleasing of floors was reduced from three floors to two floors as of January 1, 2024, however no sublease has been executed.</w:t>
      </w:r>
    </w:p>
    <w:p>
      <w:pPr>
        <w:spacing w:after="0" w:line="206" w:lineRule="exact"/>
        <w:rPr>
          <w:rFonts w:ascii="Times New Roman" w:cs="Times New Roman" w:eastAsia="Times New Roman" w:hAnsi="Times New Roman"/>
          <w:sz w:val="16"/>
          <w:szCs w:val="16"/>
          <w:color w:val="auto"/>
        </w:rPr>
      </w:pPr>
    </w:p>
    <w:p>
      <w:pPr>
        <w:ind w:left="600" w:hanging="290"/>
        <w:spacing w:after="0"/>
        <w:tabs>
          <w:tab w:leader="none" w:pos="6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agreement regarding subleasing of floors was reduced to zero should a successful financing be completed that fully redeems the Series A Preferred Stock.</w:t>
      </w:r>
    </w:p>
    <w:p>
      <w:pPr>
        <w:spacing w:after="0" w:line="206" w:lineRule="exact"/>
        <w:rPr>
          <w:rFonts w:ascii="Times New Roman" w:cs="Times New Roman" w:eastAsia="Times New Roman" w:hAnsi="Times New Roman"/>
          <w:sz w:val="16"/>
          <w:szCs w:val="16"/>
          <w:color w:val="auto"/>
        </w:rPr>
      </w:pPr>
    </w:p>
    <w:p>
      <w:pPr>
        <w:ind w:left="600" w:hanging="290"/>
        <w:spacing w:after="0"/>
        <w:tabs>
          <w:tab w:leader="none" w:pos="6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requirement to utilized funds from sale of Series A-3 Preferred Stock, if any, for the redemption of CVR balances was terminated.</w:t>
      </w:r>
    </w:p>
    <w:p>
      <w:pPr>
        <w:spacing w:after="0" w:line="206" w:lineRule="exact"/>
        <w:rPr>
          <w:sz w:val="20"/>
          <w:szCs w:val="20"/>
          <w:color w:val="auto"/>
        </w:rPr>
      </w:pPr>
    </w:p>
    <w:p>
      <w:pPr>
        <w:jc w:val="both"/>
        <w:ind w:left="20" w:hanging="7"/>
        <w:spacing w:after="0" w:line="271" w:lineRule="auto"/>
        <w:rPr>
          <w:sz w:val="20"/>
          <w:szCs w:val="20"/>
          <w:color w:val="auto"/>
        </w:rPr>
      </w:pPr>
      <w:r>
        <w:rPr>
          <w:rFonts w:ascii="Times New Roman" w:cs="Times New Roman" w:eastAsia="Times New Roman" w:hAnsi="Times New Roman"/>
          <w:sz w:val="16"/>
          <w:szCs w:val="16"/>
          <w:color w:val="auto"/>
        </w:rPr>
        <w:t>As of June 30, 2024, the stated balance of the CVR is approximately $36.5 million as the Company continued to make lease payments on behalf of the Predecessor Parent through June 30, 2024. The CVR had a fair value of $2.0 million. On June 30, 2024, the CVR was converted to 3,765,280 shares of Series A-4 Preferred Stock, therefore terminating the CVR agreement. The fair value of the CVR was recorded as preferred stock upon settlement on the condensed consolidated balance sheet.</w:t>
      </w:r>
    </w:p>
    <w:p>
      <w:pPr>
        <w:spacing w:after="0" w:line="157" w:lineRule="exact"/>
        <w:rPr>
          <w:sz w:val="20"/>
          <w:szCs w:val="20"/>
          <w:color w:val="auto"/>
        </w:rPr>
      </w:pPr>
    </w:p>
    <w:p>
      <w:pPr>
        <w:jc w:val="both"/>
        <w:ind w:left="20" w:hanging="7"/>
        <w:spacing w:after="0" w:line="271" w:lineRule="auto"/>
        <w:rPr>
          <w:sz w:val="20"/>
          <w:szCs w:val="20"/>
          <w:color w:val="auto"/>
        </w:rPr>
      </w:pPr>
      <w:r>
        <w:rPr>
          <w:rFonts w:ascii="Times New Roman" w:cs="Times New Roman" w:eastAsia="Times New Roman" w:hAnsi="Times New Roman"/>
          <w:sz w:val="16"/>
          <w:szCs w:val="16"/>
          <w:color w:val="auto"/>
        </w:rPr>
        <w:t>The Company elected to account for the CVR under the fair value option as it believes this election best reflects changes in fair value of consideration that is expected to be transferred. The fair value estimate is considered a Level 3 measurement. Changes in fair value are recognized through earnings within other income (expense), net on the condensed consolidated a statements of operations and comprehensive loss.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roll forward of the CVR measured at fair value on a recurring basis using unobservable inputs (Level 3).</w:t>
      </w:r>
    </w:p>
    <w:p>
      <w:pPr>
        <w:sectPr>
          <w:pgSz w:w="11900" w:h="16838" w:orient="portrait"/>
          <w:cols w:equalWidth="0" w:num="1">
            <w:col w:w="11260"/>
          </w:cols>
          <w:pgMar w:left="300" w:top="511" w:right="3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1680" w:type="dxa"/>
        <w:tblCellMar>
          <w:top w:w="0" w:type="dxa"/>
          <w:left w:w="0" w:type="dxa"/>
          <w:bottom w:w="0" w:type="dxa"/>
          <w:right w:w="0" w:type="dxa"/>
        </w:tblCellMar>
      </w:tblPr>
      <w:tr>
        <w:trPr>
          <w:trHeight w:val="248"/>
        </w:trPr>
        <w:tc>
          <w:tcPr>
            <w:tcW w:w="64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9,667</w:t>
            </w:r>
          </w:p>
        </w:tc>
      </w:tr>
      <w:tr>
        <w:trPr>
          <w:trHeight w:val="231"/>
        </w:trPr>
        <w:tc>
          <w:tcPr>
            <w:tcW w:w="6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Change in fair value</w:t>
            </w: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(7,627)</w:t>
            </w:r>
          </w:p>
        </w:tc>
      </w:tr>
      <w:tr>
        <w:trPr>
          <w:trHeight w:val="37"/>
        </w:trPr>
        <w:tc>
          <w:tcPr>
            <w:tcW w:w="6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8"/>
        </w:trPr>
        <w:tc>
          <w:tcPr>
            <w:tcW w:w="64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Settlement of CVR upon conversion to Preferred Stock Series A-4</w:t>
            </w: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w:t>
            </w:r>
          </w:p>
        </w:tc>
      </w:tr>
      <w:tr>
        <w:trPr>
          <w:trHeight w:val="223"/>
        </w:trPr>
        <w:tc>
          <w:tcPr>
            <w:tcW w:w="6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Balance at June 30, 2024</w:t>
            </w:r>
          </w:p>
        </w:tc>
        <w:tc>
          <w:tcPr>
            <w:tcW w:w="52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7"/>
        </w:trPr>
        <w:tc>
          <w:tcPr>
            <w:tcW w:w="644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0"/>
        </w:trPr>
        <w:tc>
          <w:tcPr>
            <w:tcW w:w="6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REVENUE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Disaggregation of Revenue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our revenues disaggregated in accordance with the timing of when performance obligations are satisfied:</w:t>
      </w:r>
    </w:p>
    <w:p>
      <w:pPr>
        <w:spacing w:after="0" w:line="289" w:lineRule="exact"/>
        <w:rPr>
          <w:sz w:val="20"/>
          <w:szCs w:val="20"/>
          <w:color w:val="auto"/>
        </w:rPr>
      </w:pPr>
    </w:p>
    <w:tbl>
      <w:tblPr>
        <w:tblLayout w:type="fixed"/>
        <w:tblInd w:w="1680" w:type="dxa"/>
        <w:tblCellMar>
          <w:top w:w="0" w:type="dxa"/>
          <w:left w:w="0" w:type="dxa"/>
          <w:bottom w:w="0" w:type="dxa"/>
          <w:right w:w="0" w:type="dxa"/>
        </w:tblCellMar>
      </w:tblPr>
      <w:tr>
        <w:trPr>
          <w:trHeight w:val="213"/>
        </w:trPr>
        <w:tc>
          <w:tcPr>
            <w:tcW w:w="4920" w:type="dxa"/>
            <w:vAlign w:val="bottom"/>
          </w:tcPr>
          <w:p>
            <w:pPr>
              <w:spacing w:after="0"/>
              <w:rPr>
                <w:sz w:val="18"/>
                <w:szCs w:val="18"/>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20" w:type="dxa"/>
            <w:vAlign w:val="bottom"/>
          </w:tcPr>
          <w:p>
            <w:pPr>
              <w:spacing w:after="0"/>
              <w:rPr>
                <w:sz w:val="18"/>
                <w:szCs w:val="18"/>
                <w:color w:val="auto"/>
              </w:rPr>
            </w:pPr>
          </w:p>
        </w:tc>
      </w:tr>
      <w:tr>
        <w:trPr>
          <w:trHeight w:val="37"/>
        </w:trPr>
        <w:tc>
          <w:tcPr>
            <w:tcW w:w="49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223"/>
        </w:trPr>
        <w:tc>
          <w:tcPr>
            <w:tcW w:w="49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Pr>
          <w:p>
            <w:pPr>
              <w:spacing w:after="0"/>
              <w:rPr>
                <w:sz w:val="19"/>
                <w:szCs w:val="19"/>
                <w:color w:val="auto"/>
              </w:rPr>
            </w:pPr>
          </w:p>
        </w:tc>
      </w:tr>
      <w:tr>
        <w:trPr>
          <w:trHeight w:val="37"/>
        </w:trPr>
        <w:tc>
          <w:tcPr>
            <w:tcW w:w="49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228"/>
        </w:trPr>
        <w:tc>
          <w:tcPr>
            <w:tcW w:w="4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Revenue recognized at a point in time:</w:t>
            </w:r>
          </w:p>
        </w:tc>
        <w:tc>
          <w:tcPr>
            <w:tcW w:w="9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r>
      <w:tr>
        <w:trPr>
          <w:trHeight w:val="243"/>
        </w:trPr>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License</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00" w:type="dxa"/>
            <w:vAlign w:val="bottom"/>
          </w:tcPr>
          <w:p>
            <w:pPr>
              <w:spacing w:after="0"/>
              <w:rPr>
                <w:sz w:val="21"/>
                <w:szCs w:val="21"/>
                <w:color w:val="auto"/>
              </w:rPr>
            </w:pP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w:t>
            </w:r>
          </w:p>
        </w:tc>
      </w:tr>
      <w:tr>
        <w:trPr>
          <w:trHeight w:val="25"/>
        </w:trPr>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8"/>
        </w:trPr>
        <w:tc>
          <w:tcPr>
            <w:tcW w:w="4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Revenue recognized over time:</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31"/>
        </w:trPr>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Services and other</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8,838</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9,087</w:t>
            </w:r>
          </w:p>
        </w:tc>
      </w:tr>
      <w:tr>
        <w:trPr>
          <w:trHeight w:val="37"/>
        </w:trPr>
        <w:tc>
          <w:tcPr>
            <w:tcW w:w="49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68"/>
        </w:trPr>
        <w:tc>
          <w:tcPr>
            <w:tcW w:w="4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Subscription</w:t>
            </w:r>
          </w:p>
        </w:tc>
        <w:tc>
          <w:tcPr>
            <w:tcW w:w="9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35,214</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35,795</w:t>
            </w:r>
          </w:p>
        </w:tc>
      </w:tr>
      <w:tr>
        <w:trPr>
          <w:trHeight w:val="254"/>
        </w:trPr>
        <w:tc>
          <w:tcPr>
            <w:tcW w:w="49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revenue</w:t>
            </w: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45,332</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46,812</w:t>
            </w:r>
          </w:p>
        </w:tc>
      </w:tr>
      <w:tr>
        <w:trPr>
          <w:trHeight w:val="23"/>
        </w:trPr>
        <w:tc>
          <w:tcPr>
            <w:tcW w:w="49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Revenue by geographic region for periods presented are summarized below:</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54"/>
        </w:trPr>
        <w:tc>
          <w:tcPr>
            <w:tcW w:w="16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20" w:type="dxa"/>
            <w:vAlign w:val="bottom"/>
          </w:tcPr>
          <w:p>
            <w:pPr>
              <w:spacing w:after="0"/>
              <w:rPr>
                <w:sz w:val="24"/>
                <w:szCs w:val="24"/>
                <w:color w:val="auto"/>
              </w:rPr>
            </w:pPr>
          </w:p>
        </w:tc>
      </w:tr>
      <w:tr>
        <w:trPr>
          <w:trHeight w:val="37"/>
        </w:trPr>
        <w:tc>
          <w:tcPr>
            <w:tcW w:w="1680" w:type="dxa"/>
            <w:vAlign w:val="bottom"/>
          </w:tcPr>
          <w:p>
            <w:pPr>
              <w:spacing w:after="0"/>
              <w:rPr>
                <w:sz w:val="3"/>
                <w:szCs w:val="3"/>
                <w:color w:val="auto"/>
              </w:rPr>
            </w:pPr>
          </w:p>
        </w:tc>
        <w:tc>
          <w:tcPr>
            <w:tcW w:w="49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223"/>
        </w:trPr>
        <w:tc>
          <w:tcPr>
            <w:tcW w:w="168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Pr>
          <w:p>
            <w:pPr>
              <w:spacing w:after="0"/>
              <w:rPr>
                <w:sz w:val="19"/>
                <w:szCs w:val="19"/>
                <w:color w:val="auto"/>
              </w:rPr>
            </w:pPr>
          </w:p>
        </w:tc>
      </w:tr>
      <w:tr>
        <w:trPr>
          <w:trHeight w:val="37"/>
        </w:trPr>
        <w:tc>
          <w:tcPr>
            <w:tcW w:w="1680" w:type="dxa"/>
            <w:vAlign w:val="bottom"/>
          </w:tcPr>
          <w:p>
            <w:pPr>
              <w:spacing w:after="0"/>
              <w:rPr>
                <w:sz w:val="3"/>
                <w:szCs w:val="3"/>
                <w:color w:val="auto"/>
              </w:rPr>
            </w:pPr>
          </w:p>
        </w:tc>
        <w:tc>
          <w:tcPr>
            <w:tcW w:w="49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228"/>
        </w:trPr>
        <w:tc>
          <w:tcPr>
            <w:tcW w:w="1680" w:type="dxa"/>
            <w:vAlign w:val="bottom"/>
          </w:tcPr>
          <w:p>
            <w:pPr>
              <w:spacing w:after="0"/>
              <w:rPr>
                <w:sz w:val="19"/>
                <w:szCs w:val="19"/>
                <w:color w:val="auto"/>
              </w:rPr>
            </w:pPr>
          </w:p>
        </w:tc>
        <w:tc>
          <w:tcPr>
            <w:tcW w:w="4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Revenue by region:</w:t>
            </w:r>
          </w:p>
        </w:tc>
        <w:tc>
          <w:tcPr>
            <w:tcW w:w="9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r>
      <w:tr>
        <w:trPr>
          <w:trHeight w:val="231"/>
        </w:trPr>
        <w:tc>
          <w:tcPr>
            <w:tcW w:w="1680" w:type="dxa"/>
            <w:vAlign w:val="bottom"/>
          </w:tcPr>
          <w:p>
            <w:pPr>
              <w:spacing w:after="0"/>
              <w:rPr>
                <w:sz w:val="20"/>
                <w:szCs w:val="20"/>
                <w:color w:val="auto"/>
              </w:rPr>
            </w:pPr>
          </w:p>
        </w:tc>
        <w:tc>
          <w:tcPr>
            <w:tcW w:w="4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United States of America</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34,943</w:t>
            </w:r>
          </w:p>
        </w:tc>
        <w:tc>
          <w:tcPr>
            <w:tcW w:w="100" w:type="dxa"/>
            <w:vAlign w:val="bottom"/>
          </w:tcPr>
          <w:p>
            <w:pPr>
              <w:spacing w:after="0"/>
              <w:rPr>
                <w:sz w:val="20"/>
                <w:szCs w:val="20"/>
                <w:color w:val="auto"/>
              </w:rPr>
            </w:pP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32,557</w:t>
            </w:r>
          </w:p>
        </w:tc>
      </w:tr>
      <w:tr>
        <w:trPr>
          <w:trHeight w:val="37"/>
        </w:trPr>
        <w:tc>
          <w:tcPr>
            <w:tcW w:w="1680" w:type="dxa"/>
            <w:vAlign w:val="bottom"/>
          </w:tcPr>
          <w:p>
            <w:pPr>
              <w:spacing w:after="0"/>
              <w:rPr>
                <w:sz w:val="3"/>
                <w:szCs w:val="3"/>
                <w:color w:val="auto"/>
              </w:rPr>
            </w:pPr>
          </w:p>
        </w:tc>
        <w:tc>
          <w:tcPr>
            <w:tcW w:w="49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68"/>
        </w:trPr>
        <w:tc>
          <w:tcPr>
            <w:tcW w:w="1680" w:type="dxa"/>
            <w:vAlign w:val="bottom"/>
          </w:tcPr>
          <w:p>
            <w:pPr>
              <w:spacing w:after="0"/>
              <w:rPr>
                <w:sz w:val="23"/>
                <w:szCs w:val="23"/>
                <w:color w:val="auto"/>
              </w:rPr>
            </w:pPr>
          </w:p>
        </w:tc>
        <w:tc>
          <w:tcPr>
            <w:tcW w:w="4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International</w:t>
            </w:r>
          </w:p>
        </w:tc>
        <w:tc>
          <w:tcPr>
            <w:tcW w:w="9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10,389</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14,255</w:t>
            </w:r>
          </w:p>
        </w:tc>
      </w:tr>
      <w:tr>
        <w:trPr>
          <w:trHeight w:val="254"/>
        </w:trPr>
        <w:tc>
          <w:tcPr>
            <w:tcW w:w="168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revenue</w:t>
            </w: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45,332</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46,812</w:t>
            </w:r>
          </w:p>
        </w:tc>
      </w:tr>
      <w:tr>
        <w:trPr>
          <w:trHeight w:val="23"/>
        </w:trPr>
        <w:tc>
          <w:tcPr>
            <w:tcW w:w="16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 Asset and Liability Balances</w:t>
      </w:r>
    </w:p>
    <w:p>
      <w:pPr>
        <w:spacing w:after="0" w:line="220" w:lineRule="exact"/>
        <w:rPr>
          <w:sz w:val="20"/>
          <w:szCs w:val="20"/>
          <w:color w:val="auto"/>
        </w:rPr>
      </w:pPr>
    </w:p>
    <w:p>
      <w:pPr>
        <w:ind w:left="20" w:hanging="7"/>
        <w:spacing w:after="0" w:line="289" w:lineRule="auto"/>
        <w:rPr>
          <w:sz w:val="20"/>
          <w:szCs w:val="20"/>
          <w:color w:val="auto"/>
        </w:rPr>
      </w:pPr>
      <w:r>
        <w:rPr>
          <w:rFonts w:ascii="Times New Roman" w:cs="Times New Roman" w:eastAsia="Times New Roman" w:hAnsi="Times New Roman"/>
          <w:sz w:val="16"/>
          <w:szCs w:val="16"/>
          <w:color w:val="auto"/>
        </w:rPr>
        <w:t>Unbilled revenue totaled $2.7 million and $3.5 million as of June 30, 2024 and December 31, 2023, respectively, and were recorded within contract assets on the condensed consolidated balance sheets. There were no impairments to contract assets during the six months ended June 30, 2024 and 2023.</w:t>
      </w:r>
    </w:p>
    <w:p>
      <w:pPr>
        <w:spacing w:after="0" w:line="142" w:lineRule="exact"/>
        <w:rPr>
          <w:sz w:val="20"/>
          <w:szCs w:val="20"/>
          <w:color w:val="auto"/>
        </w:rPr>
      </w:pPr>
    </w:p>
    <w:p>
      <w:pPr>
        <w:ind w:left="20" w:hanging="7"/>
        <w:spacing w:after="0" w:line="289" w:lineRule="auto"/>
        <w:rPr>
          <w:sz w:val="20"/>
          <w:szCs w:val="20"/>
          <w:color w:val="auto"/>
        </w:rPr>
      </w:pPr>
      <w:r>
        <w:rPr>
          <w:rFonts w:ascii="Times New Roman" w:cs="Times New Roman" w:eastAsia="Times New Roman" w:hAnsi="Times New Roman"/>
          <w:sz w:val="16"/>
          <w:szCs w:val="16"/>
          <w:color w:val="auto"/>
        </w:rPr>
        <w:t>Deferred revenue balances were $32.5 million and $38.9 million (net of deferred interest on significant financing component), as of June 30, 2024 and December 31, 2023, respectively.</w:t>
      </w:r>
    </w:p>
    <w:p>
      <w:pPr>
        <w:spacing w:after="0" w:line="142" w:lineRule="exact"/>
        <w:rPr>
          <w:sz w:val="20"/>
          <w:szCs w:val="20"/>
          <w:color w:val="auto"/>
        </w:rPr>
      </w:pPr>
    </w:p>
    <w:p>
      <w:pPr>
        <w:ind w:left="20"/>
        <w:spacing w:after="0" w:line="289" w:lineRule="auto"/>
        <w:rPr>
          <w:sz w:val="20"/>
          <w:szCs w:val="20"/>
          <w:color w:val="auto"/>
        </w:rPr>
      </w:pPr>
      <w:r>
        <w:rPr>
          <w:rFonts w:ascii="Times New Roman" w:cs="Times New Roman" w:eastAsia="Times New Roman" w:hAnsi="Times New Roman"/>
          <w:sz w:val="16"/>
          <w:szCs w:val="16"/>
          <w:color w:val="auto"/>
        </w:rPr>
        <w:t>Revenues recognized included in the balances of the deferred revenue at the beginning of the reporting period for the six months ended June 30, 2024 and 2023 were $22.1 million and $19.1 million, respectively.</w:t>
      </w:r>
    </w:p>
    <w:p>
      <w:pPr>
        <w:sectPr>
          <w:pgSz w:w="11900" w:h="16838" w:orient="portrait"/>
          <w:cols w:equalWidth="0" w:num="1">
            <w:col w:w="11260"/>
          </w:cols>
          <w:pgMar w:left="300" w:top="511" w:right="33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6"/>
          <w:szCs w:val="16"/>
          <w:color w:val="auto"/>
        </w:rPr>
        <w:t>As of June 30, 2024, the aggregate amount of the transaction price allocated to the remaining performance obligations related to customer contracts that were unsatisfied or partially unsatisfied was $87.8 million. Given the applicable contract terms, $54 million is expected to be recognized as revenue within one year, $33.8 million is expected to be recognized between 2 to 5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the timing of delivery of products and services, or contract modifications.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Unbilled Receivables</w:t>
      </w:r>
    </w:p>
    <w:p>
      <w:pPr>
        <w:spacing w:after="0" w:line="208" w:lineRule="exact"/>
        <w:rPr>
          <w:sz w:val="20"/>
          <w:szCs w:val="20"/>
          <w:color w:val="auto"/>
        </w:rPr>
      </w:pPr>
    </w:p>
    <w:p>
      <w:pPr>
        <w:jc w:val="both"/>
        <w:ind w:left="20" w:right="20" w:hanging="7"/>
        <w:spacing w:after="0" w:line="271" w:lineRule="auto"/>
        <w:rPr>
          <w:sz w:val="20"/>
          <w:szCs w:val="20"/>
          <w:color w:val="auto"/>
        </w:rPr>
      </w:pPr>
      <w:r>
        <w:rPr>
          <w:rFonts w:ascii="Times New Roman" w:cs="Times New Roman" w:eastAsia="Times New Roman" w:hAnsi="Times New Roman"/>
          <w:sz w:val="16"/>
          <w:szCs w:val="16"/>
          <w:color w:val="auto"/>
        </w:rPr>
        <w:t>Unbilled receivables are recorded when revenue recognized on a contract exceeds the billings to date for that contract and the right to consideration is unconditional when only passage of time is required before payment of that consideration is due. Unbilled receivables totaled $0.6 million and $2.1 million as of June 30, 2024 and December 31, 2023, respectively, and were recorded within contract assets on the condensed consolidated balance sheets.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DEBT AND CAPITAL LEASE OBLIGATIONS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carrying amount of current and non-current debt, net of unamortized discounts, is as follows (in thousands):</w:t>
      </w:r>
    </w:p>
    <w:p>
      <w:pPr>
        <w:spacing w:after="0" w:line="155" w:lineRule="exact"/>
        <w:rPr>
          <w:sz w:val="20"/>
          <w:szCs w:val="20"/>
          <w:color w:val="auto"/>
        </w:rPr>
      </w:pPr>
    </w:p>
    <w:tbl>
      <w:tblPr>
        <w:tblLayout w:type="fixed"/>
        <w:tblInd w:w="1680" w:type="dxa"/>
        <w:tblCellMar>
          <w:top w:w="0" w:type="dxa"/>
          <w:left w:w="0" w:type="dxa"/>
          <w:bottom w:w="0" w:type="dxa"/>
          <w:right w:w="0" w:type="dxa"/>
        </w:tblCellMar>
      </w:tblPr>
      <w:tr>
        <w:trPr>
          <w:trHeight w:val="207"/>
        </w:trPr>
        <w:tc>
          <w:tcPr>
            <w:tcW w:w="4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8"/>
                <w:szCs w:val="18"/>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3"/>
        </w:trPr>
        <w:tc>
          <w:tcPr>
            <w:tcW w:w="4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
        </w:trPr>
        <w:tc>
          <w:tcPr>
            <w:tcW w:w="4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0"/>
        </w:trPr>
        <w:tc>
          <w:tcPr>
            <w:tcW w:w="4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Monroe Term Loan Facility, net of discounts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72,485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70,485</w:t>
            </w:r>
          </w:p>
        </w:tc>
      </w:tr>
      <w:tr>
        <w:trPr>
          <w:trHeight w:val="231"/>
        </w:trPr>
        <w:tc>
          <w:tcPr>
            <w:tcW w:w="4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Monroe Delayed Draw Facility, net of discounts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17,384</w:t>
            </w:r>
          </w:p>
        </w:tc>
      </w:tr>
      <w:tr>
        <w:trPr>
          <w:trHeight w:val="37"/>
        </w:trPr>
        <w:tc>
          <w:tcPr>
            <w:tcW w:w="4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8"/>
        </w:trPr>
        <w:tc>
          <w:tcPr>
            <w:tcW w:w="4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Monroe Revolving Loan Facility</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w:t>
            </w:r>
          </w:p>
        </w:tc>
      </w:tr>
      <w:tr>
        <w:trPr>
          <w:trHeight w:val="231"/>
        </w:trPr>
        <w:tc>
          <w:tcPr>
            <w:tcW w:w="4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debt obligations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88,708</w:t>
            </w:r>
          </w:p>
        </w:tc>
      </w:tr>
      <w:tr>
        <w:trPr>
          <w:trHeight w:val="37"/>
        </w:trPr>
        <w:tc>
          <w:tcPr>
            <w:tcW w:w="4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8"/>
        </w:trPr>
        <w:tc>
          <w:tcPr>
            <w:tcW w:w="4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Less: current portion of debt</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(88,708)</w:t>
            </w:r>
          </w:p>
        </w:tc>
      </w:tr>
      <w:tr>
        <w:trPr>
          <w:trHeight w:val="223"/>
        </w:trPr>
        <w:tc>
          <w:tcPr>
            <w:tcW w:w="4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Non-current portion of debt</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7"/>
        </w:trPr>
        <w:tc>
          <w:tcPr>
            <w:tcW w:w="49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both"/>
        <w:ind w:left="20" w:right="20" w:hanging="7"/>
        <w:spacing w:after="0" w:line="271" w:lineRule="auto"/>
        <w:rPr>
          <w:sz w:val="20"/>
          <w:szCs w:val="20"/>
          <w:color w:val="auto"/>
        </w:rPr>
      </w:pPr>
      <w:r>
        <w:rPr>
          <w:rFonts w:ascii="Times New Roman" w:cs="Times New Roman" w:eastAsia="Times New Roman" w:hAnsi="Times New Roman"/>
          <w:sz w:val="16"/>
          <w:szCs w:val="16"/>
          <w:color w:val="auto"/>
        </w:rPr>
        <w:t xml:space="preserve">As of June 30, 2024 and December 31, 2023, the Company’s condensed consolidated balance sheet has $20.9 million and $22.7 million, respectively, of unamortized debt issuance costs related to the Company’s debt facilities, which are presented as a direct reduction of the Company’s current and non-current debt, respectively, as discussed in the </w:t>
      </w:r>
      <w:r>
        <w:rPr>
          <w:rFonts w:ascii="Times New Roman" w:cs="Times New Roman" w:eastAsia="Times New Roman" w:hAnsi="Times New Roman"/>
          <w:sz w:val="16"/>
          <w:szCs w:val="16"/>
          <w:i w:val="1"/>
          <w:iCs w:val="1"/>
          <w:color w:val="auto"/>
        </w:rPr>
        <w:t>Monroe Credit Agreement</w:t>
      </w:r>
      <w:r>
        <w:rPr>
          <w:rFonts w:ascii="Times New Roman" w:cs="Times New Roman" w:eastAsia="Times New Roman" w:hAnsi="Times New Roman"/>
          <w:sz w:val="16"/>
          <w:szCs w:val="16"/>
          <w:color w:val="auto"/>
        </w:rPr>
        <w:t xml:space="preserve"> section below.</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utilized its Delayed Draw Term Loan Facility through March 31, 2024 and drew down on the facility in the amount of $6.0 million.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Monroe Credit Agreement</w:t>
      </w:r>
    </w:p>
    <w:p>
      <w:pPr>
        <w:spacing w:after="0" w:line="220" w:lineRule="exact"/>
        <w:rPr>
          <w:sz w:val="20"/>
          <w:szCs w:val="20"/>
          <w:color w:val="auto"/>
        </w:rPr>
      </w:pPr>
    </w:p>
    <w:p>
      <w:pPr>
        <w:jc w:val="both"/>
        <w:ind w:left="20" w:hanging="7"/>
        <w:spacing w:after="0" w:line="259" w:lineRule="auto"/>
        <w:rPr>
          <w:sz w:val="20"/>
          <w:szCs w:val="20"/>
          <w:color w:val="auto"/>
        </w:rPr>
      </w:pPr>
      <w:r>
        <w:rPr>
          <w:rFonts w:ascii="Times New Roman" w:cs="Times New Roman" w:eastAsia="Times New Roman" w:hAnsi="Times New Roman"/>
          <w:sz w:val="16"/>
          <w:szCs w:val="16"/>
          <w:color w:val="auto"/>
        </w:rPr>
        <w:t>On December 21, 2022, the Company entered into an agreement with Monroe Capital whereby Monroe Capital extended credit to the Company in the form of (a) a term loan in the aggregate principal amount of $75 million on the closing date (the “Term Loan Facility”), (b) a $25 million committed delayed draw term loan facility (the “Delayed Draw Term Loan Facility”) and (c) a $5 million committed revolving loan facility (the “Revolving Loan Facility”). The Term Loan Facility proceeds was funded on December 21, 2022. There were outstanding borrowings of $75.0 million, $19.0 million and $1.0 million on the Term Loan, Delayed Draw Term Loan Facility and Revolving Loan Facility, respectively, as of December 31, 2023. The Delayed Draw Term Loan has a termination date of June 21, 2024, to the extent any of the committed amounts remain undrawn. As of June 30, 2024, $6.0 million and $4.0 million of the Delayed Draw Term Loan and Revolving Loan Facility, respectively, remained undrawn. On June 30, 2024, and December 31, 2023, the future debt maturities are $90.8 million (inclusive of Exit Fees discussed below). All credit facilities under the Monroe Credit</w:t>
      </w:r>
    </w:p>
    <w:p>
      <w:pPr>
        <w:sectPr>
          <w:pgSz w:w="11900" w:h="16838" w:orient="portrait"/>
          <w:cols w:equalWidth="0" w:num="1">
            <w:col w:w="11280"/>
          </w:cols>
          <w:pgMar w:left="300" w:top="536" w:right="31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20"/>
        <w:spacing w:after="0" w:line="289" w:lineRule="auto"/>
        <w:rPr>
          <w:sz w:val="20"/>
          <w:szCs w:val="20"/>
          <w:color w:val="auto"/>
        </w:rPr>
      </w:pPr>
      <w:r>
        <w:rPr>
          <w:rFonts w:ascii="Times New Roman" w:cs="Times New Roman" w:eastAsia="Times New Roman" w:hAnsi="Times New Roman"/>
          <w:sz w:val="16"/>
          <w:szCs w:val="16"/>
          <w:color w:val="auto"/>
        </w:rPr>
        <w:t>Agreement have a maturity date of December 21, 2027, unless the Preferred Shareholders exercise their redemption rights prior to that in which case all amounts would be fully due to Monroe Capital at that time, or we fail a covenant without a waiver.</w:t>
      </w:r>
    </w:p>
    <w:p>
      <w:pPr>
        <w:spacing w:after="0" w:line="142" w:lineRule="exact"/>
        <w:rPr>
          <w:sz w:val="20"/>
          <w:szCs w:val="20"/>
          <w:color w:val="auto"/>
        </w:rPr>
      </w:pPr>
    </w:p>
    <w:p>
      <w:pPr>
        <w:jc w:val="both"/>
        <w:ind w:left="20" w:hanging="7"/>
        <w:spacing w:after="0" w:line="289" w:lineRule="auto"/>
        <w:rPr>
          <w:sz w:val="20"/>
          <w:szCs w:val="20"/>
          <w:color w:val="auto"/>
        </w:rPr>
      </w:pPr>
      <w:r>
        <w:rPr>
          <w:rFonts w:ascii="Times New Roman" w:cs="Times New Roman" w:eastAsia="Times New Roman" w:hAnsi="Times New Roman"/>
          <w:sz w:val="16"/>
          <w:szCs w:val="16"/>
          <w:color w:val="auto"/>
        </w:rPr>
        <w:t>The Term Loan Facility carries a variable interest rate based on the secured overnight financing rate (“SOFR”) administered by the Federal Reserve Bank of New York, an applicable margin and monthly periodic interest period adjustment, totaling a rate of 14.6% as of June 30, 2024 and December 31, 2023, respectively.</w:t>
      </w:r>
    </w:p>
    <w:p>
      <w:pPr>
        <w:spacing w:after="0" w:line="142" w:lineRule="exact"/>
        <w:rPr>
          <w:sz w:val="20"/>
          <w:szCs w:val="20"/>
          <w:color w:val="auto"/>
        </w:rPr>
      </w:pPr>
    </w:p>
    <w:p>
      <w:pPr>
        <w:jc w:val="both"/>
        <w:ind w:left="20" w:hanging="7"/>
        <w:spacing w:after="0" w:line="260" w:lineRule="auto"/>
        <w:rPr>
          <w:sz w:val="20"/>
          <w:szCs w:val="20"/>
          <w:color w:val="auto"/>
        </w:rPr>
      </w:pPr>
      <w:r>
        <w:rPr>
          <w:rFonts w:ascii="Times New Roman" w:cs="Times New Roman" w:eastAsia="Times New Roman" w:hAnsi="Times New Roman"/>
          <w:sz w:val="16"/>
          <w:szCs w:val="16"/>
          <w:color w:val="auto"/>
        </w:rPr>
        <w:t>Lender fees and third-party debt issuance costs in the total amount of $7.6 million were incurred associated with execution of the Monroe Credit Agreement. The Company also will incur an Exit Fee of $15.7 million payable to Monroe Capital upon the earlier of maturity or such other date as the obligations under the credit agreement are paid in full. Additionally, Monroe Capital received at no charge warrants to acquire shares of the Company’s Series A-2 Preferred Stock at an amount equal to 7.5% percent of the Total Commitments. Each of the above amounts, $26.2 million in total, are collectively treated as capitalized debt issuance costs related to each of the credit facilities and therefore allocated between the Term Loan Facility, Delayed Draw Term Loan Facility, and Revolving Loan Facility based on the commitment amount of each facility relative to the total commitments of $105.0 million. The Company amortizes deferred financing costs using a method that approximates the effective interest method over the term of the related financing.</w:t>
      </w:r>
    </w:p>
    <w:p>
      <w:pPr>
        <w:spacing w:after="0" w:line="165" w:lineRule="exact"/>
        <w:rPr>
          <w:sz w:val="20"/>
          <w:szCs w:val="20"/>
          <w:color w:val="auto"/>
        </w:rPr>
      </w:pPr>
    </w:p>
    <w:p>
      <w:pPr>
        <w:jc w:val="both"/>
        <w:ind w:left="20" w:hanging="7"/>
        <w:spacing w:after="0" w:line="266" w:lineRule="auto"/>
        <w:rPr>
          <w:sz w:val="20"/>
          <w:szCs w:val="20"/>
          <w:color w:val="auto"/>
        </w:rPr>
      </w:pPr>
      <w:r>
        <w:rPr>
          <w:rFonts w:ascii="Times New Roman" w:cs="Times New Roman" w:eastAsia="Times New Roman" w:hAnsi="Times New Roman"/>
          <w:sz w:val="16"/>
          <w:szCs w:val="16"/>
          <w:color w:val="auto"/>
        </w:rPr>
        <w:t>In addition to the interest rates set forth above, prior to the Conversion Date, each loan shall accrue interest at 1% per annum (the “PIK Rate”) and the amount accrued shall be paid in kind monthly in arrears on the last business day of each calendar month, beginning with the month ending December 31, 2022. Any interest that is paid in kind under this provision shall be capitalized and added to the outstanding principal amount of such. The Company accrued $1.2 million related to paid in kind interest as of June 30, 2024.</w:t>
      </w:r>
    </w:p>
    <w:p>
      <w:pPr>
        <w:spacing w:after="0" w:line="160" w:lineRule="exact"/>
        <w:rPr>
          <w:sz w:val="20"/>
          <w:szCs w:val="20"/>
          <w:color w:val="auto"/>
        </w:rPr>
      </w:pPr>
    </w:p>
    <w:p>
      <w:pPr>
        <w:jc w:val="both"/>
        <w:ind w:left="20" w:hanging="7"/>
        <w:spacing w:after="0" w:line="266" w:lineRule="auto"/>
        <w:rPr>
          <w:sz w:val="20"/>
          <w:szCs w:val="20"/>
          <w:color w:val="auto"/>
        </w:rPr>
      </w:pPr>
      <w:r>
        <w:rPr>
          <w:rFonts w:ascii="Times New Roman" w:cs="Times New Roman" w:eastAsia="Times New Roman" w:hAnsi="Times New Roman"/>
          <w:sz w:val="16"/>
          <w:szCs w:val="16"/>
          <w:color w:val="auto"/>
        </w:rPr>
        <w:t>Amortization of debt issuance costs across all three credit facilities amounted to approximately $1.9 million and $1.7 million for the six months ended June 30, 2024 and 2023, respectively, and is reflected in the condensed consolidated statements of operations and comprehensive loss, together with interest expense. Interest expense recorded in the condensed consolidated statements of operations and comprehensive loss amounted to $7.6 million and $5.6 million for the six months ended June 30, 2024 and 2023, respectively, related to Monroe Credit Agreement.</w:t>
      </w:r>
    </w:p>
    <w:p>
      <w:pPr>
        <w:spacing w:after="0" w:line="160" w:lineRule="exact"/>
        <w:rPr>
          <w:sz w:val="20"/>
          <w:szCs w:val="20"/>
          <w:color w:val="auto"/>
        </w:rPr>
      </w:pPr>
    </w:p>
    <w:p>
      <w:pPr>
        <w:jc w:val="both"/>
        <w:ind w:left="20" w:hanging="7"/>
        <w:spacing w:after="0" w:line="271" w:lineRule="auto"/>
        <w:rPr>
          <w:sz w:val="20"/>
          <w:szCs w:val="20"/>
          <w:color w:val="auto"/>
        </w:rPr>
      </w:pPr>
      <w:r>
        <w:rPr>
          <w:rFonts w:ascii="Times New Roman" w:cs="Times New Roman" w:eastAsia="Times New Roman" w:hAnsi="Times New Roman"/>
          <w:sz w:val="16"/>
          <w:szCs w:val="16"/>
          <w:color w:val="auto"/>
        </w:rPr>
        <w:t>The Borrower shall repay the principal amount of the Term Loan Facility on the last business day of each quarter, beginning with the first fiscal quarter ending after the Conversion Date, in an amount equal to the product of (A) the original funded principal amount and (B) 0.25%. The loans are subject to mandatory prepayment upon receipt of certain proceeds, or excess cash flows, as defined, after the Conversion Date.</w:t>
      </w:r>
    </w:p>
    <w:p>
      <w:pPr>
        <w:spacing w:after="0" w:line="157" w:lineRule="exact"/>
        <w:rPr>
          <w:sz w:val="20"/>
          <w:szCs w:val="20"/>
          <w:color w:val="auto"/>
        </w:rPr>
      </w:pPr>
    </w:p>
    <w:p>
      <w:pPr>
        <w:jc w:val="both"/>
        <w:ind w:left="20" w:hanging="7"/>
        <w:spacing w:after="0" w:line="271" w:lineRule="auto"/>
        <w:rPr>
          <w:sz w:val="20"/>
          <w:szCs w:val="20"/>
          <w:color w:val="auto"/>
        </w:rPr>
      </w:pPr>
      <w:r>
        <w:rPr>
          <w:rFonts w:ascii="Times New Roman" w:cs="Times New Roman" w:eastAsia="Times New Roman" w:hAnsi="Times New Roman"/>
          <w:sz w:val="16"/>
          <w:szCs w:val="16"/>
          <w:color w:val="auto"/>
        </w:rPr>
        <w:t>Under the terms of the relevant financing agreements with Monroe, the Company has granted Monroe a security interest in substantially all assets of the Company. In addition, the Company has pledged 100% of the stock and/or equity interests of the following companies: Amelia Holding II LLC, Amelia Holding I LLC, Amelia US LLC, IPsoft Government Solutions, LLC, and Amelia NL BV.</w:t>
      </w:r>
    </w:p>
    <w:p>
      <w:pPr>
        <w:spacing w:after="0" w:line="157" w:lineRule="exact"/>
        <w:rPr>
          <w:sz w:val="20"/>
          <w:szCs w:val="20"/>
          <w:color w:val="auto"/>
        </w:rPr>
      </w:pPr>
    </w:p>
    <w:p>
      <w:pPr>
        <w:jc w:val="both"/>
        <w:ind w:left="20" w:hanging="7"/>
        <w:spacing w:after="0" w:line="266" w:lineRule="auto"/>
        <w:rPr>
          <w:sz w:val="20"/>
          <w:szCs w:val="20"/>
          <w:color w:val="auto"/>
        </w:rPr>
      </w:pPr>
      <w:r>
        <w:rPr>
          <w:rFonts w:ascii="Times New Roman" w:cs="Times New Roman" w:eastAsia="Times New Roman" w:hAnsi="Times New Roman"/>
          <w:sz w:val="16"/>
          <w:szCs w:val="16"/>
          <w:color w:val="auto"/>
        </w:rPr>
        <w:t xml:space="preserve">The Monroe Credit Agreement also has an acceleration clause relating to a change in control in which the Preferred Stockholder would no longer exercise the same voting and other protective provisions as established as of December 21, 2022. In addition, if the Preferred Stockholder exercised its redemption rights under the Preferred Stock Agreement, as described in </w:t>
      </w:r>
      <w:r>
        <w:rPr>
          <w:rFonts w:ascii="Times New Roman" w:cs="Times New Roman" w:eastAsia="Times New Roman" w:hAnsi="Times New Roman"/>
          <w:sz w:val="16"/>
          <w:szCs w:val="16"/>
          <w:i w:val="1"/>
          <w:iCs w:val="1"/>
          <w:color w:val="auto"/>
        </w:rPr>
        <w:t>Note 11</w:t>
      </w:r>
      <w:r>
        <w:rPr>
          <w:rFonts w:ascii="Times New Roman" w:cs="Times New Roman" w:eastAsia="Times New Roman" w:hAnsi="Times New Roman"/>
          <w:sz w:val="16"/>
          <w:szCs w:val="16"/>
          <w:color w:val="auto"/>
        </w:rPr>
        <w:t>, all amounts due under the Monroe Credit Agreement (including the Exit Fee) would accelerate to Monroe Capital prior to any amounts due to the Preferred Stockholder as a result of exercising the redemption right.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the Monroe Credit Agreement, the Company agreed to certain restrictive covenants, including the following financial covenants: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Recurring Revenue Leverage Ratio</w:t>
      </w:r>
    </w:p>
    <w:p>
      <w:pPr>
        <w:spacing w:after="0" w:line="208" w:lineRule="exact"/>
        <w:rPr>
          <w:sz w:val="20"/>
          <w:szCs w:val="20"/>
          <w:color w:val="auto"/>
        </w:rPr>
      </w:pPr>
    </w:p>
    <w:p>
      <w:pPr>
        <w:jc w:val="both"/>
        <w:ind w:left="20" w:hanging="7"/>
        <w:spacing w:after="0" w:line="289" w:lineRule="auto"/>
        <w:rPr>
          <w:sz w:val="20"/>
          <w:szCs w:val="20"/>
          <w:color w:val="auto"/>
        </w:rPr>
      </w:pPr>
      <w:r>
        <w:rPr>
          <w:rFonts w:ascii="Times New Roman" w:cs="Times New Roman" w:eastAsia="Times New Roman" w:hAnsi="Times New Roman"/>
          <w:sz w:val="16"/>
          <w:szCs w:val="16"/>
          <w:color w:val="auto"/>
        </w:rPr>
        <w:t>Prior to a conversion date, the Recurring Revenue Leverage Ratio, defined as the ratio of (a) Consolidated Total Debt to (b) Annualized Recurring Revenue as tested on a quarterly basis ranging from a ratio of 1.50 : 1.00 to 0.75 : 1.00 over the life of the debt facilities.</w:t>
      </w:r>
    </w:p>
    <w:p>
      <w:pPr>
        <w:sectPr>
          <w:pgSz w:w="11900" w:h="16838" w:orient="portrait"/>
          <w:cols w:equalWidth="0" w:num="1">
            <w:col w:w="11260"/>
          </w:cols>
          <w:pgMar w:left="300" w:top="536" w:right="33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Minimum Liquidity</w:t>
      </w:r>
    </w:p>
    <w:p>
      <w:pPr>
        <w:spacing w:after="0" w:line="208"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Prior to a conversion date, the Monroe Credit Agreement does not permit liquidity at any time to be less than $15,000,000. Liquidity is defined in the agreement as the combination of cash and cash equivalents, and the accessible but unused portion of the Revolving Loan Facility.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Total Net Leverage Ratio</w:t>
      </w:r>
    </w:p>
    <w:p>
      <w:pPr>
        <w:spacing w:after="0" w:line="220" w:lineRule="exact"/>
        <w:rPr>
          <w:sz w:val="20"/>
          <w:szCs w:val="20"/>
          <w:color w:val="auto"/>
        </w:rPr>
      </w:pPr>
    </w:p>
    <w:p>
      <w:pPr>
        <w:jc w:val="both"/>
        <w:ind w:left="20" w:right="20" w:hanging="7"/>
        <w:spacing w:after="0" w:line="271" w:lineRule="auto"/>
        <w:rPr>
          <w:sz w:val="20"/>
          <w:szCs w:val="20"/>
          <w:color w:val="auto"/>
        </w:rPr>
      </w:pPr>
      <w:r>
        <w:rPr>
          <w:rFonts w:ascii="Times New Roman" w:cs="Times New Roman" w:eastAsia="Times New Roman" w:hAnsi="Times New Roman"/>
          <w:sz w:val="16"/>
          <w:szCs w:val="16"/>
          <w:color w:val="auto"/>
        </w:rPr>
        <w:t>From and after the Conversion Date, the Total Net Leverage Ratio, defined as the ratio of (a) Consolidated Total Debt as of such date minus the aggregate amount of unrestricted cash and Cash Equivalents held as of date in such deposit or securities accounts subject to Control Agreements up to a maximum of $5,000,000 (subject to certain adjustments) to (b) Condensed Consolidated EBITDA on a quarterly basis ranging from a ratio of 7.00 : 1. 00 to 4.00 : 1.00 over the life of the debt facilities.</w:t>
      </w:r>
    </w:p>
    <w:p>
      <w:pPr>
        <w:spacing w:after="0" w:line="157"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On June 27, 2024, Monroe Capital exercised its rights under the Monroe Credit Agreement to convert Amelia Holdings II, LLC, the legal borrower and direct subsidiary through which the Company manages all other subsidiaries, from a member managed company to a manager managed company, appointing an independent manager.</w:t>
      </w:r>
    </w:p>
    <w:p>
      <w:pPr>
        <w:spacing w:after="0" w:line="142" w:lineRule="exact"/>
        <w:rPr>
          <w:sz w:val="20"/>
          <w:szCs w:val="20"/>
          <w:color w:val="auto"/>
        </w:rPr>
      </w:pPr>
    </w:p>
    <w:p>
      <w:pPr>
        <w:jc w:val="both"/>
        <w:ind w:left="20" w:hanging="7"/>
        <w:spacing w:after="0" w:line="266" w:lineRule="auto"/>
        <w:rPr>
          <w:sz w:val="20"/>
          <w:szCs w:val="20"/>
          <w:color w:val="auto"/>
        </w:rPr>
      </w:pPr>
      <w:r>
        <w:rPr>
          <w:rFonts w:ascii="Times New Roman" w:cs="Times New Roman" w:eastAsia="Times New Roman" w:hAnsi="Times New Roman"/>
          <w:sz w:val="16"/>
          <w:szCs w:val="16"/>
          <w:color w:val="auto"/>
        </w:rPr>
        <w:t>On July 8, 2024, Monroe Capital and the Company entered a forbearance agreement such that the financial covenants described above are temporarily suspended through August 15, 2024, and access and ability to draw on the Revolving Loan Facility was confirmed. As part of the agreement, the Company agreed that any draw on the Revolving Loan Facility result in pro-forma cash of no more than $1 million after utilization of the drawn funds. Following the expiration of the forbearance agreement the Company would not likely be in compliance of its covenants and as a result the Company has classified all outstanding debt under the Monroe Credit Agreement as current.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RETIREMENT PLANS</w:t>
      </w:r>
    </w:p>
    <w:p>
      <w:pPr>
        <w:spacing w:after="0" w:line="220" w:lineRule="exact"/>
        <w:rPr>
          <w:sz w:val="20"/>
          <w:szCs w:val="20"/>
          <w:color w:val="auto"/>
        </w:rPr>
      </w:pPr>
    </w:p>
    <w:p>
      <w:pPr>
        <w:jc w:val="both"/>
        <w:ind w:left="20" w:right="20" w:hanging="7"/>
        <w:spacing w:after="0" w:line="266" w:lineRule="auto"/>
        <w:rPr>
          <w:sz w:val="20"/>
          <w:szCs w:val="20"/>
          <w:color w:val="auto"/>
        </w:rPr>
      </w:pPr>
      <w:r>
        <w:rPr>
          <w:rFonts w:ascii="Times New Roman" w:cs="Times New Roman" w:eastAsia="Times New Roman" w:hAnsi="Times New Roman"/>
          <w:sz w:val="16"/>
          <w:szCs w:val="16"/>
          <w:color w:val="auto"/>
        </w:rPr>
        <w:t>The Company offers defined contribution plans to eligible employees. These plans are offered in the following jurisdictions: US, Australia, Canada, France, Germany, Japan, Netherlands, Norway, Slovakia, Spain, Sweden, and the UK. The Company has no additional liability beyond its contributions. The participants in the plan can direct their contributions to numerous investment options. The Company’s contribution cost for the six months ended June 30, 2024 and 2023 amounted to $0.6 million and $0.9 million, respectively, and is included within the condensed consolidated statements of operations and comprehensive loss.</w:t>
      </w:r>
    </w:p>
    <w:p>
      <w:pPr>
        <w:spacing w:after="0" w:line="160"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The Company is statutorily required to provide post-employee benefits for eligible employees in India. The annual cost of these benefits is based upon a specific actuarial computation which is followed consistently. The overall financial impact to the Company’s financial position, operations, and cash flows of this plan is immaterial.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INCOME TAXES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tax expense and the effective tax rate were as follows (in thousands):</w:t>
      </w:r>
    </w:p>
    <w:p>
      <w:pPr>
        <w:spacing w:after="0" w:line="200" w:lineRule="exact"/>
        <w:rPr>
          <w:sz w:val="20"/>
          <w:szCs w:val="20"/>
          <w:color w:val="auto"/>
        </w:rPr>
      </w:pPr>
    </w:p>
    <w:p>
      <w:pPr>
        <w:spacing w:after="0" w:line="285" w:lineRule="exact"/>
        <w:rPr>
          <w:sz w:val="20"/>
          <w:szCs w:val="20"/>
          <w:color w:val="auto"/>
        </w:rPr>
      </w:pPr>
    </w:p>
    <w:tbl>
      <w:tblPr>
        <w:tblLayout w:type="fixed"/>
        <w:tblInd w:w="168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37"/>
        </w:trPr>
        <w:tc>
          <w:tcPr>
            <w:tcW w:w="49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3"/>
        </w:trPr>
        <w:tc>
          <w:tcPr>
            <w:tcW w:w="4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7"/>
        </w:trPr>
        <w:tc>
          <w:tcPr>
            <w:tcW w:w="49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0"/>
        </w:trPr>
        <w:tc>
          <w:tcPr>
            <w:tcW w:w="4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(30,412)</w:t>
            </w:r>
          </w:p>
        </w:tc>
      </w:tr>
      <w:tr>
        <w:trPr>
          <w:trHeight w:val="231"/>
        </w:trPr>
        <w:tc>
          <w:tcPr>
            <w:tcW w:w="4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r>
      <w:tr>
        <w:trPr>
          <w:trHeight w:val="37"/>
        </w:trPr>
        <w:tc>
          <w:tcPr>
            <w:tcW w:w="4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1"/>
        </w:trPr>
        <w:tc>
          <w:tcPr>
            <w:tcW w:w="4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Effective tax rate</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r>
      <w:tr>
        <w:trPr>
          <w:trHeight w:val="37"/>
        </w:trPr>
        <w:tc>
          <w:tcPr>
            <w:tcW w:w="49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288" w:lineRule="exact"/>
        <w:rPr>
          <w:sz w:val="20"/>
          <w:szCs w:val="20"/>
          <w:color w:val="auto"/>
        </w:rPr>
      </w:pPr>
    </w:p>
    <w:p>
      <w:pPr>
        <w:ind w:left="20" w:right="20" w:hanging="10"/>
        <w:spacing w:after="0" w:line="289" w:lineRule="auto"/>
        <w:rPr>
          <w:sz w:val="20"/>
          <w:szCs w:val="20"/>
          <w:color w:val="auto"/>
        </w:rPr>
      </w:pPr>
      <w:r>
        <w:rPr>
          <w:rFonts w:ascii="Times New Roman" w:cs="Times New Roman" w:eastAsia="Times New Roman" w:hAnsi="Times New Roman"/>
          <w:sz w:val="16"/>
          <w:szCs w:val="16"/>
          <w:color w:val="auto"/>
        </w:rPr>
        <w:t>The Company’s recorded effective tax rate differs from the U.S. statutory rate primarily due to an increase in the domestic valuation allowance caused by tax losses, foreign withholding taxes, foreign tax rate differentials from the U.S. domestic statutory tax rate and tax benefit resulting from acquisition.</w:t>
      </w:r>
    </w:p>
    <w:p>
      <w:pPr>
        <w:sectPr>
          <w:pgSz w:w="11900" w:h="16838" w:orient="portrait"/>
          <w:cols w:equalWidth="0" w:num="1">
            <w:col w:w="11280"/>
          </w:cols>
          <w:pgMar w:left="300" w:top="536" w:right="31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COMMITMENTS AND CONTINGENCIES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Litigation and Legal Proceedings</w:t>
      </w:r>
    </w:p>
    <w:p>
      <w:pPr>
        <w:spacing w:after="0" w:line="220" w:lineRule="exact"/>
        <w:rPr>
          <w:sz w:val="20"/>
          <w:szCs w:val="20"/>
          <w:color w:val="auto"/>
        </w:rPr>
      </w:pPr>
    </w:p>
    <w:p>
      <w:pPr>
        <w:jc w:val="both"/>
        <w:ind w:left="20" w:hanging="7"/>
        <w:spacing w:after="0" w:line="263" w:lineRule="auto"/>
        <w:rPr>
          <w:sz w:val="20"/>
          <w:szCs w:val="20"/>
          <w:color w:val="auto"/>
        </w:rPr>
      </w:pPr>
      <w:r>
        <w:rPr>
          <w:rFonts w:ascii="Times New Roman" w:cs="Times New Roman" w:eastAsia="Times New Roman" w:hAnsi="Times New Roman"/>
          <w:sz w:val="16"/>
          <w:szCs w:val="16"/>
          <w:color w:val="auto"/>
        </w:rPr>
        <w:t>The Company accrues contingent liabilities, including estimated legal costs, when the obligation is probable, and the amount is reasonably estimable. As facts concerning contingencies become known, the Company reassesses its position and makes appropriate adjustments to the condensed consolidated financial statements. Estimates that are particularly sensitive to future changes include those related to tax, legal and other regulatory matters, changes in interpretation and enforcement of international laws, and the impact of local economic conditions and practices, which are all subject to change as events evolve and as additional information becomes available during the administrative and litigation process.</w:t>
      </w:r>
    </w:p>
    <w:p>
      <w:pPr>
        <w:spacing w:after="0" w:line="162" w:lineRule="exact"/>
        <w:rPr>
          <w:sz w:val="20"/>
          <w:szCs w:val="20"/>
          <w:color w:val="auto"/>
        </w:rPr>
      </w:pPr>
    </w:p>
    <w:p>
      <w:pPr>
        <w:jc w:val="both"/>
        <w:ind w:left="20" w:hanging="7"/>
        <w:spacing w:after="0" w:line="266" w:lineRule="auto"/>
        <w:rPr>
          <w:sz w:val="20"/>
          <w:szCs w:val="20"/>
          <w:color w:val="auto"/>
        </w:rPr>
      </w:pPr>
      <w:r>
        <w:rPr>
          <w:rFonts w:ascii="Times New Roman" w:cs="Times New Roman" w:eastAsia="Times New Roman" w:hAnsi="Times New Roman"/>
          <w:sz w:val="16"/>
          <w:szCs w:val="16"/>
          <w:color w:val="auto"/>
        </w:rPr>
        <w:t>As of June 30, 2024, the Company was involved in litigation arising in the normal course of business that is pending. The results of the proceedings are not expected to have a material adverse effect on the Company’s condensed consolidated financial position or results of operations and comprehensive loss. Actual outcomes of these legal and regulatory proceedings may differ materially from our current estimates. It is possible that resolution of one or more of the legal matters currently pending or threatened could result in losses material to our condensed consolidated results of operations, liquidity, or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RELATED-PARTY TRANSACTIONS</w:t>
      </w:r>
    </w:p>
    <w:p>
      <w:pPr>
        <w:spacing w:after="0" w:line="220" w:lineRule="exact"/>
        <w:rPr>
          <w:sz w:val="20"/>
          <w:szCs w:val="20"/>
          <w:color w:val="auto"/>
        </w:rPr>
      </w:pPr>
    </w:p>
    <w:p>
      <w:pPr>
        <w:jc w:val="both"/>
        <w:ind w:left="20" w:hanging="7"/>
        <w:spacing w:after="0" w:line="266" w:lineRule="auto"/>
        <w:rPr>
          <w:sz w:val="20"/>
          <w:szCs w:val="20"/>
          <w:color w:val="auto"/>
        </w:rPr>
      </w:pPr>
      <w:r>
        <w:rPr>
          <w:rFonts w:ascii="Times New Roman" w:cs="Times New Roman" w:eastAsia="Times New Roman" w:hAnsi="Times New Roman"/>
          <w:sz w:val="16"/>
          <w:szCs w:val="16"/>
          <w:color w:val="auto"/>
        </w:rPr>
        <w:t>In connection with the Amelia Business Combination, the Successor and Predecessor entities entered into a transition service agreement to support the provision by the Successor entity of customer support services within the United Kingdom and Germany as well as certain administrative services related to the collection of trade receivables on behalf of the Predecessor entity. As of June 30, 2024 and December 31, 2023, $0.9 million and $1.4 million, respectively, was accrued related to these activities and is presented as due to related party on the condensed consolidated balance sheets.</w:t>
      </w:r>
    </w:p>
    <w:p>
      <w:pPr>
        <w:spacing w:after="0" w:line="160" w:lineRule="exact"/>
        <w:rPr>
          <w:sz w:val="20"/>
          <w:szCs w:val="20"/>
          <w:color w:val="auto"/>
        </w:rPr>
      </w:pPr>
    </w:p>
    <w:p>
      <w:pPr>
        <w:jc w:val="both"/>
        <w:ind w:left="20" w:hanging="7"/>
        <w:spacing w:after="0" w:line="289" w:lineRule="auto"/>
        <w:rPr>
          <w:sz w:val="20"/>
          <w:szCs w:val="20"/>
          <w:color w:val="auto"/>
        </w:rPr>
      </w:pPr>
      <w:r>
        <w:rPr>
          <w:rFonts w:ascii="Times New Roman" w:cs="Times New Roman" w:eastAsia="Times New Roman" w:hAnsi="Times New Roman"/>
          <w:sz w:val="16"/>
          <w:szCs w:val="16"/>
          <w:color w:val="auto"/>
        </w:rPr>
        <w:t>Employee loans totaled $472 thousand as of June 30, 2024 and December 31, 2023, respectively, and were recorded as employee loans receivable on the condensed consolidated balance sheets.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FAIR VALUE MEASUREMENT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fair value of the Company's financial instruments that are measured or disclosed at fair value on a recurring basis:</w:t>
      </w:r>
    </w:p>
    <w:p>
      <w:pPr>
        <w:spacing w:after="0" w:line="200" w:lineRule="exact"/>
        <w:rPr>
          <w:sz w:val="20"/>
          <w:szCs w:val="20"/>
          <w:color w:val="auto"/>
        </w:rPr>
      </w:pPr>
    </w:p>
    <w:p>
      <w:pPr>
        <w:spacing w:after="0" w:line="28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6"/>
          <w:szCs w:val="16"/>
          <w:b w:val="1"/>
          <w:bCs w:val="1"/>
          <w:color w:val="auto"/>
        </w:rPr>
        <w:t>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41910</wp:posOffset>
            </wp:positionV>
            <wp:extent cx="227584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75840" cy="7620"/>
                    </a:xfrm>
                    <a:prstGeom prst="rect">
                      <a:avLst/>
                    </a:prstGeom>
                    <a:noFill/>
                  </pic:spPr>
                </pic:pic>
              </a:graphicData>
            </a:graphic>
          </wp:anchor>
        </w:drawing>
      </w:r>
    </w:p>
    <w:p>
      <w:pPr>
        <w:spacing w:after="0" w:line="76" w:lineRule="exact"/>
        <w:rPr>
          <w:sz w:val="20"/>
          <w:szCs w:val="20"/>
          <w:color w:val="auto"/>
        </w:rPr>
      </w:pPr>
    </w:p>
    <w:tbl>
      <w:tblPr>
        <w:tblLayout w:type="fixed"/>
        <w:tblInd w:w="1680" w:type="dxa"/>
        <w:tblCellMar>
          <w:top w:w="0" w:type="dxa"/>
          <w:left w:w="0" w:type="dxa"/>
          <w:bottom w:w="0" w:type="dxa"/>
          <w:right w:w="0" w:type="dxa"/>
        </w:tblCellMar>
      </w:tblPr>
      <w:tr>
        <w:trPr>
          <w:trHeight w:val="213"/>
        </w:trPr>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8"/>
                <w:szCs w:val="18"/>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37"/>
        </w:trPr>
        <w:tc>
          <w:tcPr>
            <w:tcW w:w="43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28"/>
        </w:trPr>
        <w:tc>
          <w:tcPr>
            <w:tcW w:w="43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31"/>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Warrant Liability</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5,424</w:t>
            </w:r>
          </w:p>
        </w:tc>
      </w:tr>
      <w:tr>
        <w:trPr>
          <w:trHeight w:val="37"/>
        </w:trPr>
        <w:tc>
          <w:tcPr>
            <w:tcW w:w="43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85"/>
        </w:trPr>
        <w:tc>
          <w:tcPr>
            <w:tcW w:w="43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5,424</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60"/>
          </w:cols>
          <w:pgMar w:left="300" w:top="536" w:right="3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1680" w:type="dxa"/>
        <w:tblCellMar>
          <w:top w:w="0" w:type="dxa"/>
          <w:left w:w="0" w:type="dxa"/>
          <w:bottom w:w="0" w:type="dxa"/>
          <w:right w:w="0" w:type="dxa"/>
        </w:tblCellMar>
      </w:tblPr>
      <w:tr>
        <w:trPr>
          <w:trHeight w:val="213"/>
        </w:trPr>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7"/>
        </w:trPr>
        <w:tc>
          <w:tcPr>
            <w:tcW w:w="43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23"/>
        </w:trPr>
        <w:tc>
          <w:tcPr>
            <w:tcW w:w="4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9"/>
                <w:szCs w:val="19"/>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37"/>
        </w:trPr>
        <w:tc>
          <w:tcPr>
            <w:tcW w:w="43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28"/>
        </w:trPr>
        <w:tc>
          <w:tcPr>
            <w:tcW w:w="43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31"/>
        </w:trPr>
        <w:tc>
          <w:tcPr>
            <w:tcW w:w="4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71"/>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68"/>
        </w:trPr>
        <w:tc>
          <w:tcPr>
            <w:tcW w:w="4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Treasury bills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10,068</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4"/>
        </w:trPr>
        <w:tc>
          <w:tcPr>
            <w:tcW w:w="4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10,068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
        </w:trPr>
        <w:tc>
          <w:tcPr>
            <w:tcW w:w="4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9"/>
        </w:trPr>
        <w:tc>
          <w:tcPr>
            <w:tcW w:w="4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8"/>
        </w:trPr>
        <w:tc>
          <w:tcPr>
            <w:tcW w:w="43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1"/>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Contingent Value Right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9,667</w:t>
            </w:r>
          </w:p>
        </w:tc>
      </w:tr>
      <w:tr>
        <w:trPr>
          <w:trHeight w:val="37"/>
        </w:trPr>
        <w:tc>
          <w:tcPr>
            <w:tcW w:w="4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8"/>
        </w:trPr>
        <w:tc>
          <w:tcPr>
            <w:tcW w:w="4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Warrant Liability</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w:t>
            </w:r>
          </w:p>
        </w:tc>
      </w:tr>
      <w:tr>
        <w:trPr>
          <w:trHeight w:val="223"/>
        </w:trPr>
        <w:tc>
          <w:tcPr>
            <w:tcW w:w="43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14,307</w:t>
            </w:r>
          </w:p>
        </w:tc>
      </w:tr>
      <w:tr>
        <w:trPr>
          <w:trHeight w:val="37"/>
        </w:trPr>
        <w:tc>
          <w:tcPr>
            <w:tcW w:w="43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STOCKHOLDERS’ EQUITY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Authorized and issued capital of the Company consists of:</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208"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The Company is authorized to issue 253,933,170 shares of Common Stock, of which 153,933,170 shares have been designated Class A Common Stock, $0.001 par value per share, none of which are issued and outstanding as of June 30, 2024 and 2023.</w:t>
      </w:r>
    </w:p>
    <w:p>
      <w:pPr>
        <w:spacing w:after="0" w:line="142"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On December 21, 2022, 100,000,000 shares have been designated Class B Common Stock, $0.001 par value per share, 100,000,000 shares of which are issued and outstanding on June 30, 2024 and December 31, 2023.</w:t>
      </w:r>
    </w:p>
    <w:p>
      <w:pPr>
        <w:spacing w:after="0" w:line="142"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Shares of Class A Common Stock and Class B Common Stock have the same rights and powers, rank equally; provided that the voting, dividend and liquidation rights of the holders of the Common Stock are subject to and qualified by the rights, powers and preferences of the holders of the Preferred Stock, as described below.</w:t>
      </w:r>
    </w:p>
    <w:p>
      <w:pPr>
        <w:spacing w:after="0" w:line="142"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Each share of Class B Common Stock shall be automatically, without further action by the holder thereof, converted into one (1) fully paid and non-assessable share of Class A Common Stock, upon (i) the occurrence of a transfer of such share of Class B Common Stock or (ii) an initial public offering (“IPO”).</w:t>
      </w:r>
    </w:p>
    <w:p>
      <w:pPr>
        <w:spacing w:after="0" w:line="142" w:lineRule="exact"/>
        <w:rPr>
          <w:sz w:val="20"/>
          <w:szCs w:val="20"/>
          <w:color w:val="auto"/>
        </w:rPr>
      </w:pPr>
    </w:p>
    <w:p>
      <w:pPr>
        <w:jc w:val="both"/>
        <w:ind w:left="20" w:hanging="7"/>
        <w:spacing w:after="0" w:line="263" w:lineRule="auto"/>
        <w:rPr>
          <w:sz w:val="20"/>
          <w:szCs w:val="20"/>
          <w:color w:val="auto"/>
        </w:rPr>
      </w:pPr>
      <w:r>
        <w:rPr>
          <w:rFonts w:ascii="Times New Roman" w:cs="Times New Roman" w:eastAsia="Times New Roman" w:hAnsi="Times New Roman"/>
          <w:sz w:val="16"/>
          <w:szCs w:val="16"/>
          <w:color w:val="auto"/>
        </w:rPr>
        <w:t>As described in Note 1, the Common Stockholder has the right, but not the obligation, to redeem all shares of Senior Series A Preferred Stock held at a per share purchase price equal to the 175% of the applicable stated value then in effect with respect to such share of Series A Preferred Stock on the one-year anniversary of the issuance date (Common Stockholder Call Option). Pursuant to agreement the call option closing date shall occur no later than 90 days from the date of the call notice. The Common Stockholder exercised the call option at the one-year anniversary date and the closing failed to occur within the 90 day period and as such the call right of the Common Stockholder Call Option terminated on March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220" w:lineRule="exact"/>
        <w:rPr>
          <w:sz w:val="20"/>
          <w:szCs w:val="20"/>
          <w:color w:val="auto"/>
        </w:rPr>
      </w:pPr>
    </w:p>
    <w:p>
      <w:pPr>
        <w:jc w:val="both"/>
        <w:ind w:left="20" w:right="20" w:hanging="7"/>
        <w:spacing w:after="0" w:line="262" w:lineRule="auto"/>
        <w:rPr>
          <w:sz w:val="20"/>
          <w:szCs w:val="20"/>
          <w:color w:val="auto"/>
        </w:rPr>
      </w:pPr>
      <w:r>
        <w:rPr>
          <w:rFonts w:ascii="Times New Roman" w:cs="Times New Roman" w:eastAsia="Times New Roman" w:hAnsi="Times New Roman"/>
          <w:sz w:val="16"/>
          <w:szCs w:val="16"/>
          <w:color w:val="auto"/>
        </w:rPr>
        <w:t>The Company is authorized to issue 16,034,483 shares of Preferred Stock, of which 3,654,170 shares have been designated Series A-1 Preferred Stock, 4,126,771 shares have been designated Series A-2 Preferred Stock, 4,126,771 shares have been designated Series A-3 Preferred Stock (together, “Senior Series A Preferred Stock”) and 4,126,771 shares have been designated Series A-4 Preferred Stock, $0.001 par value per share. On December 21, 2022, 3,654,170 series A-1 Preferred Stock shares and 4,126,771 Series A-2 Preferred Stock shares were issued and are held by one shareholder (Build Group), which are outstanding at June 30, 2024 and December 31, 2023. There are no shares of A-3 Preferred Stock outstanding at June 30, 2024 and December 31, 2023. On June 30, 2024, the CVR was converted to 3,765,280 shares of Series A-4 Preferred Stock.</w:t>
      </w:r>
    </w:p>
    <w:p>
      <w:pPr>
        <w:sectPr>
          <w:pgSz w:w="11900" w:h="16838" w:orient="portrait"/>
          <w:cols w:equalWidth="0" w:num="1">
            <w:col w:w="11280"/>
          </w:cols>
          <w:pgMar w:left="300" w:top="536" w:right="31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20" w:right="20" w:hanging="7"/>
        <w:spacing w:after="0" w:line="263" w:lineRule="auto"/>
        <w:rPr>
          <w:sz w:val="20"/>
          <w:szCs w:val="20"/>
          <w:color w:val="auto"/>
        </w:rPr>
      </w:pPr>
      <w:r>
        <w:rPr>
          <w:rFonts w:ascii="Times New Roman" w:cs="Times New Roman" w:eastAsia="Times New Roman" w:hAnsi="Times New Roman"/>
          <w:sz w:val="16"/>
          <w:szCs w:val="16"/>
          <w:color w:val="auto"/>
        </w:rPr>
        <w:t>Preferred Stock shares are convertible into class A common shares at a conversion price equal to the stated value per share of Series A Preferred Stock (initial stated value of Series A Preferred Stock is $9.6928). The conversion price is subject to adjustment based on issuance of additional shares of Class A common stock for no consideration or consideration per share less than the applicable conversion price. The conversion price is also subject to adjustment for standard anti-dilution provisions, and potential adjustment based on an effective offering price underlying an initial public offering. The shares may become mandatorily convertible upon the closing of a qualified public offering.</w:t>
      </w:r>
    </w:p>
    <w:p>
      <w:pPr>
        <w:spacing w:after="0" w:line="162" w:lineRule="exact"/>
        <w:rPr>
          <w:sz w:val="20"/>
          <w:szCs w:val="20"/>
          <w:color w:val="auto"/>
        </w:rPr>
      </w:pPr>
    </w:p>
    <w:p>
      <w:pPr>
        <w:jc w:val="both"/>
        <w:ind w:left="20" w:right="20" w:hanging="7"/>
        <w:spacing w:after="0" w:line="271" w:lineRule="auto"/>
        <w:rPr>
          <w:sz w:val="20"/>
          <w:szCs w:val="20"/>
          <w:color w:val="auto"/>
        </w:rPr>
      </w:pPr>
      <w:r>
        <w:rPr>
          <w:rFonts w:ascii="Times New Roman" w:cs="Times New Roman" w:eastAsia="Times New Roman" w:hAnsi="Times New Roman"/>
          <w:sz w:val="16"/>
          <w:szCs w:val="16"/>
          <w:color w:val="auto"/>
        </w:rPr>
        <w:t>The preferred stock do not have a mandatory redemption date and are assessed at issuance for classification and redemption features requiring bifurcation.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as described below.</w:t>
      </w:r>
    </w:p>
    <w:p>
      <w:pPr>
        <w:spacing w:after="0" w:line="181" w:lineRule="exact"/>
        <w:rPr>
          <w:sz w:val="20"/>
          <w:szCs w:val="20"/>
          <w:color w:val="auto"/>
        </w:rPr>
      </w:pPr>
    </w:p>
    <w:p>
      <w:pPr>
        <w:jc w:val="both"/>
        <w:ind w:left="20" w:right="20" w:hanging="7"/>
        <w:spacing w:after="0" w:line="263" w:lineRule="auto"/>
        <w:rPr>
          <w:sz w:val="20"/>
          <w:szCs w:val="20"/>
          <w:color w:val="auto"/>
        </w:rPr>
      </w:pPr>
      <w:r>
        <w:rPr>
          <w:rFonts w:ascii="Times New Roman" w:cs="Times New Roman" w:eastAsia="Times New Roman" w:hAnsi="Times New Roman"/>
          <w:sz w:val="16"/>
          <w:szCs w:val="16"/>
          <w:color w:val="auto"/>
        </w:rPr>
        <w:t>The Senior Series A Preferred Stock has the right, but not the obligation, to put the Senior Series A Preferred Stock held back to the Company at a per share purchase price equal to the 175% of the applicable stated value then in effect with respect to such share of Senior Series A Preferred Stock on the one-year anniversary of the issuance date (initial redemption) or to put all shares of Senior Series A Preferred Stock held at a per share purchase price equal to the 300% of the applicable stated value then in effect with respect to such share of Senior Series A Preferred Stock beginning on the fourth anniversary of the issuance date (full redemption). The holders of the Series A Preferred Stock did not exercise their put option at the one-year anniversary date of the Series A Preferred Stock issuance date.</w:t>
      </w:r>
    </w:p>
    <w:p>
      <w:pPr>
        <w:spacing w:after="0" w:line="162" w:lineRule="exact"/>
        <w:rPr>
          <w:sz w:val="20"/>
          <w:szCs w:val="20"/>
          <w:color w:val="auto"/>
        </w:rPr>
      </w:pPr>
    </w:p>
    <w:p>
      <w:pPr>
        <w:jc w:val="both"/>
        <w:ind w:left="20" w:right="20" w:hanging="7"/>
        <w:spacing w:after="0" w:line="263" w:lineRule="auto"/>
        <w:rPr>
          <w:sz w:val="20"/>
          <w:szCs w:val="20"/>
          <w:color w:val="auto"/>
        </w:rPr>
      </w:pPr>
      <w:r>
        <w:rPr>
          <w:rFonts w:ascii="Times New Roman" w:cs="Times New Roman" w:eastAsia="Times New Roman" w:hAnsi="Times New Roman"/>
          <w:sz w:val="16"/>
          <w:szCs w:val="16"/>
          <w:color w:val="auto"/>
        </w:rPr>
        <w:t>The redeemable convertible preferred stock is redeemable at the option of the holders or upon a deemed liquidation event which the Company determined is not solely within its control and thus has classified shares of redeemable convertible preferred stock as temporary equity until such time as the conditions are removed or lapse. When redemption is considered probable, the Company recognizes changes in the redemption value immediately as they occur and adjusts the carrying amount of the instrument to equal the redemption value at the end of each reporting period. For the period ended June 30, 2024, the Company recognized $13.7 million in accretion of preferred stock to redemption value within mezzanine equity on the consolidated balance sheet.</w:t>
      </w:r>
    </w:p>
    <w:p>
      <w:pPr>
        <w:spacing w:after="0" w:line="162" w:lineRule="exact"/>
        <w:rPr>
          <w:sz w:val="20"/>
          <w:szCs w:val="20"/>
          <w:color w:val="auto"/>
        </w:rPr>
      </w:pPr>
    </w:p>
    <w:p>
      <w:pPr>
        <w:jc w:val="both"/>
        <w:ind w:left="20" w:hanging="7"/>
        <w:spacing w:after="0" w:line="263" w:lineRule="auto"/>
        <w:rPr>
          <w:sz w:val="20"/>
          <w:szCs w:val="20"/>
          <w:color w:val="auto"/>
        </w:rPr>
      </w:pPr>
      <w:r>
        <w:rPr>
          <w:rFonts w:ascii="Times New Roman" w:cs="Times New Roman" w:eastAsia="Times New Roman" w:hAnsi="Times New Roman"/>
          <w:sz w:val="16"/>
          <w:szCs w:val="16"/>
          <w:color w:val="auto"/>
        </w:rPr>
        <w:t>Pursuant to the election of the Senior Series A Preferred Stockholders to exercise either the initial or full redemption, the Common Stockholder has the right, but not the obligation, to redeem all shares of Senior Series A Preferred Stock held at a per share purchase price equal to the 175% of the applicable stated value then in effect with respect to such share of Series A Preferred Stock on the one-year anniversary of the issuance date (initial redemption) or to redeem all shares of Series A-1, A-2 or A-3 Preferred Stock held at a per share purchase price equal to the 300% of the applicable stated value then in effect with respect to such share of Series A Preferred Stock beginning on the fourth anniversary of the issuance date (full redemption).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Series A-4 shares may be redeemed beginning on the fifteenth anniversary of their issuance date based on the original issuance price of those Series A-4 shares.</w:t>
      </w:r>
    </w:p>
    <w:p>
      <w:pPr>
        <w:spacing w:after="0" w:line="206" w:lineRule="exact"/>
        <w:rPr>
          <w:sz w:val="20"/>
          <w:szCs w:val="20"/>
          <w:color w:val="auto"/>
        </w:rPr>
      </w:pPr>
    </w:p>
    <w:p>
      <w:pPr>
        <w:jc w:val="both"/>
        <w:ind w:left="20" w:right="20" w:hanging="7"/>
        <w:spacing w:after="0" w:line="266" w:lineRule="auto"/>
        <w:rPr>
          <w:sz w:val="20"/>
          <w:szCs w:val="20"/>
          <w:color w:val="auto"/>
        </w:rPr>
      </w:pPr>
      <w:r>
        <w:rPr>
          <w:rFonts w:ascii="Times New Roman" w:cs="Times New Roman" w:eastAsia="Times New Roman" w:hAnsi="Times New Roman"/>
          <w:sz w:val="16"/>
          <w:szCs w:val="16"/>
          <w:color w:val="auto"/>
        </w:rPr>
        <w:t>Dividends for Senior Series A Preferred Stock compound annually and accrue at the rate per annum of eleven percent (11%) of the stated value of such share then in effect. Dividends accrue daily and are cumulative. Dividends are automatically deemed to be paid in kind, and the stated value with respect to each share of Senior Series A Preferred Stock is correspondingly increased by the accruing dividend, on a daily basis, and will not be paid by the Company in cash or in Common Stock. For the six months ended June 30, 2024, the stated value of the Senior Series A Preferred Stock increased by $4.6 million because of the accruing dividend.</w:t>
      </w:r>
    </w:p>
    <w:p>
      <w:pPr>
        <w:spacing w:after="0" w:line="160"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The holders of the Series A-4 Preferred Stock are entitled to receive, on a pari passu basis with the holders of the Common Stock, when, as, and if declared by the Board, out of any assets of the Corporation legally available therefore, such dividends as may be declared from time to time by the Board.</w:t>
      </w:r>
    </w:p>
    <w:p>
      <w:pPr>
        <w:sectPr>
          <w:pgSz w:w="11900" w:h="16838" w:orient="portrait"/>
          <w:cols w:equalWidth="0" w:num="1">
            <w:col w:w="11280"/>
          </w:cols>
          <w:pgMar w:left="300" w:top="536" w:right="31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Voting Rights</w:t>
      </w:r>
    </w:p>
    <w:p>
      <w:pPr>
        <w:spacing w:after="0" w:line="220"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Each holder of Class A Common Stock has the right to one (1) vote per share of Class A Common Stock held of record by such holder and each holder of Class B Common Stock has the right to ten (10) votes per share of Class B Common Stock held of record by such holder.</w:t>
      </w:r>
    </w:p>
    <w:p>
      <w:pPr>
        <w:spacing w:after="0" w:line="142" w:lineRule="exact"/>
        <w:rPr>
          <w:sz w:val="20"/>
          <w:szCs w:val="20"/>
          <w:color w:val="auto"/>
        </w:rPr>
      </w:pPr>
    </w:p>
    <w:p>
      <w:pPr>
        <w:jc w:val="both"/>
        <w:ind w:left="20" w:right="20" w:hanging="7"/>
        <w:spacing w:after="0" w:line="269" w:lineRule="auto"/>
        <w:rPr>
          <w:sz w:val="20"/>
          <w:szCs w:val="20"/>
          <w:color w:val="auto"/>
        </w:rPr>
      </w:pPr>
      <w:r>
        <w:rPr>
          <w:rFonts w:ascii="Times New Roman" w:cs="Times New Roman" w:eastAsia="Times New Roman" w:hAnsi="Times New Roman"/>
          <w:sz w:val="16"/>
          <w:szCs w:val="16"/>
          <w:color w:val="auto"/>
        </w:rPr>
        <w:t>Each holder of outstanding shares of Senior Series A Preferred Stock is entitled to cast the number of votes equal to the number of whole shares of Class A Common Stock into which the shares of Senior Series A Preferred Stock held by such holder are convertible as of the record date for determining stockholders entitled to vote on such matter. Holders of Senior Series A Preferred Stock vote together with the holders of Common Stock as a single class and on an as converted to Class A Common Stock basis.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holder of outstanding shares of Series A-4 Preferred Stock shall have no voting right on any matter presented to the stockholders of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Right to Receive Liquidation Distribution</w:t>
      </w:r>
    </w:p>
    <w:p>
      <w:pPr>
        <w:spacing w:after="0" w:line="208" w:lineRule="exact"/>
        <w:rPr>
          <w:sz w:val="20"/>
          <w:szCs w:val="20"/>
          <w:color w:val="auto"/>
        </w:rPr>
      </w:pPr>
    </w:p>
    <w:p>
      <w:pPr>
        <w:jc w:val="both"/>
        <w:ind w:left="20" w:right="20" w:hanging="7"/>
        <w:spacing w:after="0" w:line="289" w:lineRule="auto"/>
        <w:rPr>
          <w:sz w:val="20"/>
          <w:szCs w:val="20"/>
          <w:color w:val="auto"/>
        </w:rPr>
      </w:pPr>
      <w:r>
        <w:rPr>
          <w:rFonts w:ascii="Times New Roman" w:cs="Times New Roman" w:eastAsia="Times New Roman" w:hAnsi="Times New Roman"/>
          <w:sz w:val="16"/>
          <w:szCs w:val="16"/>
          <w:color w:val="auto"/>
        </w:rPr>
        <w:t>In the event of liquidation, dissolution or winding up of the Company, after the satisfaction of all amounts due under the Monroe Credit Agreement, holders of the Senior Series A Preferred Stock will be eligible for preferential payment out of the assets of the Company over the holders of the other share classes.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2024 Equity Incentive Plan</w:t>
      </w:r>
    </w:p>
    <w:p>
      <w:pPr>
        <w:spacing w:after="0" w:line="220" w:lineRule="exact"/>
        <w:rPr>
          <w:sz w:val="20"/>
          <w:szCs w:val="20"/>
          <w:color w:val="auto"/>
        </w:rPr>
      </w:pPr>
    </w:p>
    <w:p>
      <w:pPr>
        <w:jc w:val="both"/>
        <w:ind w:left="20" w:hanging="10"/>
        <w:spacing w:after="0" w:line="266" w:lineRule="auto"/>
        <w:rPr>
          <w:sz w:val="20"/>
          <w:szCs w:val="20"/>
          <w:color w:val="auto"/>
        </w:rPr>
      </w:pPr>
      <w:r>
        <w:rPr>
          <w:rFonts w:ascii="Times New Roman" w:cs="Times New Roman" w:eastAsia="Times New Roman" w:hAnsi="Times New Roman"/>
          <w:sz w:val="16"/>
          <w:szCs w:val="16"/>
          <w:color w:val="auto"/>
        </w:rPr>
        <w:t>In January 2024, the Company instituted and adopted the 2024 Equity Incentive Plan (the 2024 Plan) whereby the Company may grant equity-based incentive awards to its employees, directors and consultants pursuant to the 2024 Plan. A total of 22,470,959 shares of the Company’s Class A Common Stock is reserved for sale and issuance under the 2024 Plan. In April 2024, pursuant to the 2024 Plan, the Company issued options to purchase 12,301,329 shares of the Common A shares of the Company with a strike price of $0.40 per share, and four-year vesting. The Company recorded $0.2 million in stock-based compensation expense for the six months ended June 30,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 Warrants</w:t>
      </w:r>
    </w:p>
    <w:p>
      <w:pPr>
        <w:spacing w:after="0" w:line="220" w:lineRule="exact"/>
        <w:rPr>
          <w:sz w:val="20"/>
          <w:szCs w:val="20"/>
          <w:color w:val="auto"/>
        </w:rPr>
      </w:pPr>
    </w:p>
    <w:p>
      <w:pPr>
        <w:jc w:val="both"/>
        <w:ind w:left="20" w:hanging="7"/>
        <w:spacing w:after="0" w:line="263" w:lineRule="auto"/>
        <w:rPr>
          <w:sz w:val="20"/>
          <w:szCs w:val="20"/>
          <w:color w:val="auto"/>
        </w:rPr>
      </w:pPr>
      <w:r>
        <w:rPr>
          <w:rFonts w:ascii="Times New Roman" w:cs="Times New Roman" w:eastAsia="Times New Roman" w:hAnsi="Times New Roman"/>
          <w:sz w:val="16"/>
          <w:szCs w:val="16"/>
          <w:color w:val="auto"/>
        </w:rPr>
        <w:t>In connection with the conversion of the convertible promissory note to Series A-1 Preferred Stock and the purchase of Series A-2 Preferred Stock, the Company issued 8,804,870 of Common Stock warrants, $0.001 par value per share, which expire on December 31, 2032, to the Series A-1 Stockholder. The number of Common Stock warrants may increase by up 745,288 shares to 9,550,158 in total in the event that, and in proportion with, Series A-3 or Series A-4 Preferred Stock are subsequently issued. The Common Stock warrants each have an exercise price of $9.6928 per share, subject to certain adjustments, and may be exercised in whole or in part at any time prior to December 21, 2032, including on a cash or cashless exercise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June 30, 2024, and there were 8,804,870 Common Stock warrants outstanding.</w:t>
      </w:r>
    </w:p>
    <w:p>
      <w:pPr>
        <w:spacing w:after="0" w:line="206" w:lineRule="exact"/>
        <w:rPr>
          <w:sz w:val="20"/>
          <w:szCs w:val="20"/>
          <w:color w:val="auto"/>
        </w:rPr>
      </w:pPr>
    </w:p>
    <w:p>
      <w:pPr>
        <w:jc w:val="both"/>
        <w:ind w:left="20" w:right="20" w:hanging="7"/>
        <w:spacing w:after="0" w:line="271" w:lineRule="auto"/>
        <w:rPr>
          <w:sz w:val="20"/>
          <w:szCs w:val="20"/>
          <w:color w:val="auto"/>
        </w:rPr>
      </w:pPr>
      <w:r>
        <w:rPr>
          <w:rFonts w:ascii="Times New Roman" w:cs="Times New Roman" w:eastAsia="Times New Roman" w:hAnsi="Times New Roman"/>
          <w:sz w:val="16"/>
          <w:szCs w:val="16"/>
          <w:color w:val="auto"/>
        </w:rPr>
        <w:t>The Common Stock warrants are classified within warrant liabilities on the condensed consolidated balance sheet as of June 30, 2024 and were valued using an option pricing model. Changes in fair value are recognized through earnings within other income (expense), net on the condensed consolidated statements of operations and comprehensive loss.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roll forward of the Common Stock warrants measured at fair value on a recurring basis using unobservable inputs (Level 3):</w:t>
      </w:r>
    </w:p>
    <w:p>
      <w:pPr>
        <w:spacing w:after="0" w:line="271" w:lineRule="exact"/>
        <w:rPr>
          <w:sz w:val="20"/>
          <w:szCs w:val="20"/>
          <w:color w:val="auto"/>
        </w:rPr>
      </w:pPr>
    </w:p>
    <w:tbl>
      <w:tblPr>
        <w:tblLayout w:type="fixed"/>
        <w:tblInd w:w="1680" w:type="dxa"/>
        <w:tblCellMar>
          <w:top w:w="0" w:type="dxa"/>
          <w:left w:w="0" w:type="dxa"/>
          <w:bottom w:w="0" w:type="dxa"/>
          <w:right w:w="0" w:type="dxa"/>
        </w:tblCellMar>
      </w:tblPr>
      <w:tr>
        <w:trPr>
          <w:trHeight w:val="248"/>
        </w:trPr>
        <w:tc>
          <w:tcPr>
            <w:tcW w:w="64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Balance on December 31, 2023</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r>
      <w:tr>
        <w:trPr>
          <w:trHeight w:val="231"/>
        </w:trPr>
        <w:tc>
          <w:tcPr>
            <w:tcW w:w="6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Change in fair value</w:t>
            </w: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w:t>
            </w:r>
          </w:p>
        </w:tc>
      </w:tr>
      <w:tr>
        <w:trPr>
          <w:trHeight w:val="37"/>
        </w:trPr>
        <w:tc>
          <w:tcPr>
            <w:tcW w:w="644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65"/>
        </w:trPr>
        <w:tc>
          <w:tcPr>
            <w:tcW w:w="64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Balance on June 30, 2024</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80"/>
          </w:cols>
          <w:pgMar w:left="300" w:top="536" w:right="31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AMELIA HOLDINGS,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20"/>
        <w:spacing w:after="0" w:line="271" w:lineRule="auto"/>
        <w:rPr>
          <w:sz w:val="20"/>
          <w:szCs w:val="20"/>
          <w:color w:val="auto"/>
        </w:rPr>
      </w:pPr>
      <w:r>
        <w:rPr>
          <w:rFonts w:ascii="Times New Roman" w:cs="Times New Roman" w:eastAsia="Times New Roman" w:hAnsi="Times New Roman"/>
          <w:sz w:val="16"/>
          <w:szCs w:val="16"/>
          <w:color w:val="auto"/>
        </w:rPr>
        <w:t>The significant unobservable inputs used in the fair value measurement of the Common Stock warrants are the expected term and volatility rate. Significant increases (decreases) in the expected term would result in significantly lower (higher) fair value measurements. Significant increases (decreases) in the expected volatility would result in significantly higher (lower) fair value measurements.</w:t>
      </w:r>
    </w:p>
    <w:p>
      <w:pPr>
        <w:spacing w:after="0" w:line="169" w:lineRule="exact"/>
        <w:rPr>
          <w:sz w:val="20"/>
          <w:szCs w:val="20"/>
          <w:color w:val="auto"/>
        </w:rPr>
      </w:pPr>
    </w:p>
    <w:p>
      <w:pPr>
        <w:jc w:val="both"/>
        <w:ind w:left="20" w:hanging="7"/>
        <w:spacing w:after="0" w:line="261" w:lineRule="auto"/>
        <w:rPr>
          <w:sz w:val="20"/>
          <w:szCs w:val="20"/>
          <w:color w:val="auto"/>
        </w:rPr>
      </w:pPr>
      <w:r>
        <w:rPr>
          <w:rFonts w:ascii="Times New Roman" w:cs="Times New Roman" w:eastAsia="Times New Roman" w:hAnsi="Times New Roman"/>
          <w:sz w:val="16"/>
          <w:szCs w:val="16"/>
          <w:color w:val="auto"/>
        </w:rPr>
        <w:t>As part of the Monroe Credit Agreement, Monroe received 812,458 Series A-2 Preferred Stock warrants having a ten-year term that expires on December 21, 2032. The number of Series A-2 Preferred Stock shares that may be issued upon exercise is subject to increase based on adjustment to reduce the exercise price per share. The exercise price is equal to the lower of (a) the initial stated value of Series A Preferred Stock of $9.6928 per share and (b) 80% of the lowest price per share at which (i) the preferred equity of the Company is sold in the Company’s most recent Equity Financing (as defined in the preferred warrant agreement) or (ii) the common stock of the Company is being purchased in an Acquisition (as defined in the preferred warrant agreement). The Series A-2 Preferred Stock Warrants may be exercised in whole or in part at any time prior to December 21, 2032, including on a cash or cashless exercise basis.</w:t>
      </w:r>
    </w:p>
    <w:p>
      <w:pPr>
        <w:spacing w:after="0" w:line="165" w:lineRule="exact"/>
        <w:rPr>
          <w:sz w:val="20"/>
          <w:szCs w:val="20"/>
          <w:color w:val="auto"/>
        </w:rPr>
      </w:pPr>
    </w:p>
    <w:p>
      <w:pPr>
        <w:jc w:val="both"/>
        <w:ind w:left="20" w:hanging="7"/>
        <w:spacing w:after="0" w:line="289" w:lineRule="auto"/>
        <w:rPr>
          <w:sz w:val="20"/>
          <w:szCs w:val="20"/>
          <w:color w:val="auto"/>
        </w:rPr>
      </w:pPr>
      <w:r>
        <w:rPr>
          <w:rFonts w:ascii="Times New Roman" w:cs="Times New Roman" w:eastAsia="Times New Roman" w:hAnsi="Times New Roman"/>
          <w:sz w:val="16"/>
          <w:szCs w:val="16"/>
          <w:color w:val="auto"/>
        </w:rPr>
        <w:t>All Series A-2 Preferred Stock warrants remain unexercised and outstanding as of June 30, 2024, and there were 812,458 Preferred Stock warrants outstanding as of June 30,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Series A-2 Preferred Stock warrants were valued using a Monte-Carlo valuation method and recorded as warrant liabilities on the condensed consolidated balance sheet.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Changes in fair value are recognized through earnings within other income (expense), net on the condensed consolidated statements of operations and comprehensive loss.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roll forward of the Series A-2 Preferred Stock warrants measured at fair value on a recurring basis using unobservable inputs (Level 3):</w:t>
      </w:r>
    </w:p>
    <w:p>
      <w:pPr>
        <w:spacing w:after="0" w:line="271" w:lineRule="exact"/>
        <w:rPr>
          <w:sz w:val="20"/>
          <w:szCs w:val="20"/>
          <w:color w:val="auto"/>
        </w:rPr>
      </w:pPr>
    </w:p>
    <w:tbl>
      <w:tblPr>
        <w:tblLayout w:type="fixed"/>
        <w:tblInd w:w="1680" w:type="dxa"/>
        <w:tblCellMar>
          <w:top w:w="0" w:type="dxa"/>
          <w:left w:w="0" w:type="dxa"/>
          <w:bottom w:w="0" w:type="dxa"/>
          <w:right w:w="0" w:type="dxa"/>
        </w:tblCellMar>
      </w:tblPr>
      <w:tr>
        <w:trPr>
          <w:trHeight w:val="248"/>
        </w:trPr>
        <w:tc>
          <w:tcPr>
            <w:tcW w:w="64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Balance on December 31, 2023</w:t>
            </w: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3,583</w:t>
            </w:r>
          </w:p>
        </w:tc>
      </w:tr>
      <w:tr>
        <w:trPr>
          <w:trHeight w:val="231"/>
        </w:trPr>
        <w:tc>
          <w:tcPr>
            <w:tcW w:w="6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Change in fair value</w:t>
            </w: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w:t>
            </w:r>
          </w:p>
        </w:tc>
      </w:tr>
      <w:tr>
        <w:trPr>
          <w:trHeight w:val="37"/>
        </w:trPr>
        <w:tc>
          <w:tcPr>
            <w:tcW w:w="64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65"/>
        </w:trPr>
        <w:tc>
          <w:tcPr>
            <w:tcW w:w="64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Balance on June 30, 2024</w:t>
            </w: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5,395</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both"/>
        <w:ind w:left="20"/>
        <w:spacing w:after="0" w:line="271" w:lineRule="auto"/>
        <w:rPr>
          <w:sz w:val="20"/>
          <w:szCs w:val="20"/>
          <w:color w:val="auto"/>
        </w:rPr>
      </w:pPr>
      <w:r>
        <w:rPr>
          <w:rFonts w:ascii="Times New Roman" w:cs="Times New Roman" w:eastAsia="Times New Roman" w:hAnsi="Times New Roman"/>
          <w:sz w:val="16"/>
          <w:szCs w:val="16"/>
          <w:color w:val="auto"/>
        </w:rPr>
        <w:t>The significant unobservable inputs used in the fair value measurement of the Preferred Stock warrants are the expected term and volatility rate. Significant increases (decreases) in the expected term would result in significantly lower (higher) fair value measurements. Significant increases (decreases) in the expected volatility would result in significantly higher (lower) fair value measurements.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SUBSEQUENT EVENTS</w:t>
      </w:r>
    </w:p>
    <w:p>
      <w:pPr>
        <w:spacing w:after="0" w:line="231" w:lineRule="exact"/>
        <w:rPr>
          <w:sz w:val="20"/>
          <w:szCs w:val="20"/>
          <w:color w:val="auto"/>
        </w:rPr>
      </w:pPr>
    </w:p>
    <w:p>
      <w:pPr>
        <w:jc w:val="both"/>
        <w:ind w:left="20" w:hanging="7"/>
        <w:spacing w:after="0" w:line="292" w:lineRule="auto"/>
        <w:rPr>
          <w:sz w:val="20"/>
          <w:szCs w:val="20"/>
          <w:color w:val="auto"/>
        </w:rPr>
      </w:pPr>
      <w:r>
        <w:rPr>
          <w:rFonts w:ascii="Times New Roman" w:cs="Times New Roman" w:eastAsia="Times New Roman" w:hAnsi="Times New Roman"/>
          <w:sz w:val="16"/>
          <w:szCs w:val="16"/>
          <w:color w:val="auto"/>
        </w:rPr>
        <w:t xml:space="preserve">In accordance with ASC 855, </w:t>
      </w:r>
      <w:r>
        <w:rPr>
          <w:rFonts w:ascii="Times New Roman" w:cs="Times New Roman" w:eastAsia="Times New Roman" w:hAnsi="Times New Roman"/>
          <w:sz w:val="16"/>
          <w:szCs w:val="16"/>
          <w:i w:val="1"/>
          <w:iCs w:val="1"/>
          <w:color w:val="auto"/>
        </w:rPr>
        <w:t>Subsequent Events</w:t>
      </w:r>
      <w:r>
        <w:rPr>
          <w:rFonts w:ascii="Times New Roman" w:cs="Times New Roman" w:eastAsia="Times New Roman" w:hAnsi="Times New Roman"/>
          <w:sz w:val="16"/>
          <w:szCs w:val="16"/>
          <w:color w:val="auto"/>
        </w:rPr>
        <w:t>, the Company evaluated subsequent events through October 22, 2024, the date these condensed consolidated financial statements were available to be issued.</w:t>
      </w:r>
    </w:p>
    <w:p>
      <w:pPr>
        <w:spacing w:after="0" w:line="140" w:lineRule="exact"/>
        <w:rPr>
          <w:sz w:val="20"/>
          <w:szCs w:val="20"/>
          <w:color w:val="auto"/>
        </w:rPr>
      </w:pPr>
    </w:p>
    <w:p>
      <w:pPr>
        <w:jc w:val="both"/>
        <w:ind w:left="20" w:hanging="7"/>
        <w:spacing w:after="0" w:line="271" w:lineRule="auto"/>
        <w:rPr>
          <w:sz w:val="20"/>
          <w:szCs w:val="20"/>
          <w:color w:val="auto"/>
        </w:rPr>
      </w:pPr>
      <w:r>
        <w:rPr>
          <w:rFonts w:ascii="Times New Roman" w:cs="Times New Roman" w:eastAsia="Times New Roman" w:hAnsi="Times New Roman"/>
          <w:sz w:val="16"/>
          <w:szCs w:val="16"/>
          <w:color w:val="auto"/>
        </w:rPr>
        <w:t>On August 6, 2024, SoundHound AI, Inc. (“SoundHound”) completed its acquisition of all the issued and outstanding shares of the Company pursuant to the stock purchase agreement by and among SoundHound, IPSoft Global Holdings, Inc., and BuildGroup, LLC. As a result of the acquisition, awards granted under the 2024 Plan were cancelled in exchange for no consideration.</w:t>
      </w:r>
    </w:p>
    <w:p>
      <w:pPr>
        <w:spacing w:after="0" w:line="157" w:lineRule="exact"/>
        <w:rPr>
          <w:sz w:val="20"/>
          <w:szCs w:val="20"/>
          <w:color w:val="auto"/>
        </w:rPr>
      </w:pPr>
    </w:p>
    <w:p>
      <w:pPr>
        <w:jc w:val="both"/>
        <w:ind w:left="20" w:hanging="7"/>
        <w:spacing w:after="0" w:line="289" w:lineRule="auto"/>
        <w:rPr>
          <w:sz w:val="20"/>
          <w:szCs w:val="20"/>
          <w:color w:val="auto"/>
        </w:rPr>
      </w:pPr>
      <w:r>
        <w:rPr>
          <w:rFonts w:ascii="Times New Roman" w:cs="Times New Roman" w:eastAsia="Times New Roman" w:hAnsi="Times New Roman"/>
          <w:sz w:val="16"/>
          <w:szCs w:val="16"/>
          <w:color w:val="auto"/>
        </w:rPr>
        <w:t>Concurrent with the acquisition, the Company entered into a Second Amendment to the Monroe Credit Agreement and SoundHound paid $70 million to retire a majority of the Monroe Term Loan leaving a remaining balance of $39.69 million with a maturity date of June 30, 2026.</w:t>
      </w:r>
    </w:p>
    <w:p>
      <w:pPr>
        <w:sectPr>
          <w:pgSz w:w="11900" w:h="16838" w:orient="portrait"/>
          <w:cols w:equalWidth="0" w:num="1">
            <w:col w:w="11260"/>
          </w:cols>
          <w:pgMar w:left="300" w:top="536"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6"/>
          <w:szCs w:val="16"/>
          <w:color w:val="auto"/>
        </w:rPr>
        <w:t>Exhibit 99.3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FINANCIAL INFORMATION</w:t>
      </w:r>
    </w:p>
    <w:p>
      <w:pPr>
        <w:spacing w:after="0" w:line="23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The unaudited pro forma condensed combined financial information of SoundHound AI, Inc. (“SoundHound” or the “Company”) has been prepared in accordance with Article 11 of Regulation S-X, as amended, and presents the combination of the historical financial information of SoundHound and Amelia Holdings, Inc. (“Amelia” or the “Target”), adjusted to give effect to the Acquisition. The unaudited pro forma condensed combined financial information of SoundHound also gives effect to another financing event completed by SoundHound that has occurred but is not yet reflected in the historical financial information of SoundHound and is considered a material transaction separate from the Acquisition.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Description of the Acquisition</w:t>
      </w:r>
    </w:p>
    <w:p>
      <w:pPr>
        <w:spacing w:after="0" w:line="2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On August 6, 2024 (the “Acquisition Date”), SoundHound completed its acquisition (the “Acquisition”) of Amelia, pursuant to the terms of the Stock Purchase Agreement (the “Purchase Agreement”) entered into by and among SoundHound, Firehorse Merger Sub, LLC (“Purchaser Sub”), IPSoft Global Holdings, Inc., and BuildGroup, LLC (each of IPSoft Global Holdings, Inc. and BuildGroup LLC, a “Seller” and collectively, the “Sellers”). The Company issued a total of 5,959,050 shares of the SoundHound Class A common stock to the Sellers (the “Upfront Consideration”). Pursuant to the terms of the Purchase Agreement, the Company deposited 2,149,530 shares of the Upfront Consideration into an escrow account in order to partially secure the indemnification obligations of the Sellers under the Purchase Agreement (the “Escrow Consideration”). The Company also paid $8.4 million of cash for seller transaction expenses in connection with the closing of the Acquisition. At the effective time of the Acquisition, each outstanding Target stock option expired and was cancelled and extinguished without any right to receive any consideration and each outstanding Target warrant to purchase capital stock of Target expired and was cancelled and extinguished without any right to receive any consideration. In addition to the Upfront Consideration, the Company has agreed to issue up to 16,822,429 shares to the Sellers based on achievement of certain revenue targets in fiscal years 2025 and 2026.</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Financing Event</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connection with the Acquisition, the Company assumed the amended senior secured term loan facility of the Target (“Amended Term Loan Facility”). In accordance with the amended terms, on August 7, 2024, the Company paid $70.0 million in cash and issued 2,943,917 shares to pay down a portion of the outstanding principal balance and settle certain fees associated with the Amended Term Loan Facility (the “Debt Paydown” and together with the Acquisition, the “Transactions”). The remaining outstanding balance of $39.7 million has a maturity date of June 30, 2026 (the “Maturity Date”) and provides, at the Company’s election, for payment of a portion of interest in cash or any interest in respect of the loan hereunder that is paid in kind will be capitalized and added to the outstanding principal amount during the term of the loan with principal and accrued interest due at the Maturity Date. The Amended Term Loan Facility may be prepaid at any time and must be prepaid, along with the applicable prepayment premium and exit fee, upon the occurrence of certain future events. The Amended Term Loan Facility will accrue interest at an annual rate equal to the sum of (a) Adjusted Term SOFR and (b)(i) an applicable margin of 9.0% for the portion of interest paid in cash, and (ii) an additional 1.0% for the portion of interest is paid in kind. Upon an event of default, the interest rate will automatically increase by an additional 2.0% for each year, and may result in the declaration that all outstanding principal and interest under the Amended Term Loan Facility be immediately due and payable in whole or in part.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Information</w:t>
      </w:r>
    </w:p>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The unaudited pro forma condensed combined balance sheet assumes that the Transactions occurred on June 30, 2024, and combines the historical balance sheets of SoundHound and Amelia giving pro forma effect as of such date. The unaudited pro forma condensed combined statements of operations for the year ended December 31, 2023 and six months ended June 30, 2024, assumes that the Transactions occurred as of January 1, 2023, and combines the historical results of SoundHound and Amelia giving pro forma effect for the periods then ended.</w:t>
      </w:r>
    </w:p>
    <w:p>
      <w:pPr>
        <w:spacing w:after="0" w:line="12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adjustments in the unaudited pro forma condensed combined financial information have been identified and presented to to provide relevant information in accordance with Generally Accepted Accounting Principles (“GAAP”) necessary for an illustrative understanding of the Transactions. The unaudited pro forma adjustments are believed by management to be necessary for a fair statement of SoundHound’s unaudited pro forma condensed combined financial information.</w:t>
      </w:r>
    </w:p>
    <w:p>
      <w:pPr>
        <w:spacing w:after="0" w:line="181"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The unaudited pro forma condensed combined financial information is derived from the historical financial statements of SoundHound and Amelia, and should be read in conjunction with the following financial statement and accompanying notes:</w:t>
      </w:r>
    </w:p>
    <w:p>
      <w:pPr>
        <w:spacing w:after="0" w:line="166" w:lineRule="exact"/>
        <w:rPr>
          <w:sz w:val="20"/>
          <w:szCs w:val="20"/>
          <w:color w:val="auto"/>
        </w:rPr>
      </w:pPr>
    </w:p>
    <w:p>
      <w:pPr>
        <w:ind w:left="580" w:right="20" w:hanging="290"/>
        <w:spacing w:after="0" w:line="264" w:lineRule="auto"/>
        <w:tabs>
          <w:tab w:leader="none" w:pos="57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historical audited consolidated financial statements of SoundHound for the year ended December 31, 2023, included in its Annual Report on Form 10-K filed with the Securities and Exchange Commission (“SEC”) on March 1, 2024, and incorporated herein by reference,</w:t>
      </w:r>
    </w:p>
    <w:p>
      <w:pPr>
        <w:spacing w:after="0" w:line="1" w:lineRule="exact"/>
        <w:rPr>
          <w:rFonts w:ascii="Times New Roman" w:cs="Times New Roman" w:eastAsia="Times New Roman" w:hAnsi="Times New Roman"/>
          <w:sz w:val="16"/>
          <w:szCs w:val="16"/>
          <w:color w:val="auto"/>
        </w:rPr>
      </w:pPr>
    </w:p>
    <w:p>
      <w:pPr>
        <w:ind w:left="580" w:right="20" w:hanging="290"/>
        <w:spacing w:after="0" w:line="254" w:lineRule="auto"/>
        <w:tabs>
          <w:tab w:leader="none" w:pos="57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historical unaudited condensed consolidated financial statements of SoundHound for the six months ended June 30, 2024, included in its Quarterly Report on Form 10-Q filed with the SEC on August 9, 2024, and incorporated herein by reference,</w:t>
      </w:r>
    </w:p>
    <w:p>
      <w:pPr>
        <w:jc w:val="both"/>
        <w:ind w:left="580" w:hanging="290"/>
        <w:spacing w:after="0" w:line="268" w:lineRule="auto"/>
        <w:tabs>
          <w:tab w:leader="none" w:pos="57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historical audited consolidated financial statements of Amelia for the year ended December 31, 2023, that are included as Exhibit 99.1 in the Company’s Report on Form 8-K/A filed with the SEC on October 22, 2024 to which this unaudited pro forma condensed combined financial information is being filed as an exhibit, and</w:t>
      </w:r>
    </w:p>
    <w:p>
      <w:pPr>
        <w:spacing w:after="0" w:line="174" w:lineRule="exact"/>
        <w:rPr>
          <w:rFonts w:ascii="Times New Roman" w:cs="Times New Roman" w:eastAsia="Times New Roman" w:hAnsi="Times New Roman"/>
          <w:sz w:val="16"/>
          <w:szCs w:val="16"/>
          <w:color w:val="auto"/>
        </w:rPr>
      </w:pPr>
    </w:p>
    <w:p>
      <w:pPr>
        <w:jc w:val="both"/>
        <w:ind w:left="580" w:right="20" w:hanging="290"/>
        <w:spacing w:after="0" w:line="261" w:lineRule="auto"/>
        <w:tabs>
          <w:tab w:leader="none" w:pos="57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historical unaudited condensed consolidated financial statements of Amelia for the six months ended June 30, 2024, that are included as Exhibit 99.2 in the Company’s Report on Form 8-K/A filed with the SEC on October 22, 2024 to which this unaudited pro forma condensed combined financial information is being filed as an exhibit.</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Assumptions underlying the pro forma adjustments are described in the accompanying notes, which should be read in conjunction with the unaudited pro forma condensed combined financial information. The transaction accounting adjustments are based on available information and assumptions that the Company’s management believes are reasonable. Such adjustments are estimates and actual experience may differ from expectations.</w:t>
      </w:r>
    </w:p>
    <w:p>
      <w:pPr>
        <w:spacing w:after="0" w:line="18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Acquisition is subject to closing adjustments that have not yet been finalized. Accordingly, the pro forma adjustments are preliminary and have been made solely for the purpose of providing unaudited pro forma condensed combined financial information as required by SEC rules. Differences between these preliminary estimates and the final acquisition accounting may be material.</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 Pro Forma Condensed Combined Balance Sheet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of June 30, 2024</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ectPr>
          <w:pgSz w:w="11900" w:h="16838" w:orient="portrait"/>
          <w:cols w:equalWidth="0" w:num="1">
            <w:col w:w="11260"/>
          </w:cols>
          <w:pgMar w:left="320" w:top="550" w:right="319" w:bottom="749" w:gutter="0" w:footer="0" w:header="0"/>
        </w:sectPr>
      </w:pPr>
    </w:p>
    <w:bookmarkStart w:id="64" w:name="page65"/>
    <w:bookmarkEnd w:id="64"/>
    <w:tbl>
      <w:tblPr>
        <w:tblLayout w:type="fixed"/>
        <w:tblInd w:w="40" w:type="dxa"/>
        <w:tblCellMar>
          <w:top w:w="0" w:type="dxa"/>
          <w:left w:w="0" w:type="dxa"/>
          <w:bottom w:w="0" w:type="dxa"/>
          <w:right w:w="0" w:type="dxa"/>
        </w:tblCellMar>
      </w:tblPr>
      <w:tr>
        <w:trPr>
          <w:trHeight w:val="149"/>
        </w:trPr>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4"/>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Transaction Accounting Adjustments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Amelia Holdings</w:t>
            </w: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Historical – After</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Reclassification</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Note</w:t>
            </w:r>
          </w:p>
        </w:tc>
        <w:tc>
          <w:tcPr>
            <w:tcW w:w="160" w:type="dxa"/>
            <w:vAlign w:val="bottom"/>
          </w:tcPr>
          <w:p>
            <w:pPr>
              <w:spacing w:after="0"/>
              <w:rPr>
                <w:sz w:val="12"/>
                <w:szCs w:val="12"/>
                <w:color w:val="auto"/>
              </w:rPr>
            </w:pPr>
          </w:p>
        </w:tc>
        <w:tc>
          <w:tcPr>
            <w:tcW w:w="880" w:type="dxa"/>
            <w:vAlign w:val="bottom"/>
            <w:vMerge w:val="restart"/>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34"/>
        </w:trPr>
        <w:tc>
          <w:tcPr>
            <w:tcW w:w="2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SoundHound</w:t>
            </w:r>
          </w:p>
        </w:tc>
        <w:tc>
          <w:tcPr>
            <w:tcW w:w="80" w:type="dxa"/>
            <w:vAlign w:val="bottom"/>
          </w:tcPr>
          <w:p>
            <w:pPr>
              <w:spacing w:after="0"/>
              <w:rPr>
                <w:sz w:val="11"/>
                <w:szCs w:val="1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Adjustments (Note</w:t>
            </w:r>
          </w:p>
        </w:tc>
        <w:tc>
          <w:tcPr>
            <w:tcW w:w="1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Amelia Acquisition</w:t>
            </w:r>
          </w:p>
        </w:tc>
        <w:tc>
          <w:tcPr>
            <w:tcW w:w="100" w:type="dxa"/>
            <w:vAlign w:val="bottom"/>
          </w:tcPr>
          <w:p>
            <w:pPr>
              <w:spacing w:after="0"/>
              <w:rPr>
                <w:sz w:val="11"/>
                <w:szCs w:val="11"/>
                <w:color w:val="auto"/>
              </w:rPr>
            </w:pPr>
          </w:p>
        </w:tc>
        <w:tc>
          <w:tcPr>
            <w:tcW w:w="920" w:type="dxa"/>
            <w:vAlign w:val="bottom"/>
            <w:vMerge w:val="restart"/>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Debt Paydown</w:t>
            </w: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80" w:type="dxa"/>
            <w:vAlign w:val="bottom"/>
          </w:tcPr>
          <w:p>
            <w:pPr>
              <w:spacing w:after="0"/>
              <w:rPr>
                <w:sz w:val="12"/>
                <w:szCs w:val="12"/>
                <w:color w:val="auto"/>
              </w:rPr>
            </w:pPr>
          </w:p>
        </w:tc>
        <w:tc>
          <w:tcPr>
            <w:tcW w:w="102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2)</w:t>
            </w:r>
          </w:p>
        </w:tc>
        <w:tc>
          <w:tcPr>
            <w:tcW w:w="1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60" w:type="dxa"/>
            <w:vAlign w:val="bottom"/>
          </w:tcPr>
          <w:p>
            <w:pPr>
              <w:spacing w:after="0"/>
              <w:rPr>
                <w:sz w:val="12"/>
                <w:szCs w:val="12"/>
                <w:color w:val="auto"/>
              </w:rPr>
            </w:pPr>
          </w:p>
        </w:tc>
        <w:tc>
          <w:tcPr>
            <w:tcW w:w="88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Combined</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6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4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Current assets:</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200,156</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2,717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(8,407)</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(70,000)</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4(a), 5(a)</w:t>
            </w:r>
          </w:p>
        </w:tc>
        <w:tc>
          <w:tcPr>
            <w:tcW w:w="1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124,466</w:t>
            </w:r>
          </w:p>
        </w:tc>
        <w:tc>
          <w:tcPr>
            <w:tcW w:w="0" w:type="dxa"/>
            <w:vAlign w:val="bottom"/>
          </w:tcPr>
          <w:p>
            <w:pPr>
              <w:spacing w:after="0"/>
              <w:rPr>
                <w:sz w:val="1"/>
                <w:szCs w:val="1"/>
                <w:color w:val="auto"/>
              </w:rPr>
            </w:pPr>
          </w:p>
        </w:tc>
      </w:tr>
      <w:tr>
        <w:trPr>
          <w:trHeight w:val="156"/>
        </w:trPr>
        <w:tc>
          <w:tcPr>
            <w:tcW w:w="2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Accounts receivable, net</w:t>
            </w:r>
          </w:p>
        </w:tc>
        <w:tc>
          <w:tcPr>
            <w:tcW w:w="140" w:type="dxa"/>
            <w:vAlign w:val="bottom"/>
          </w:tcPr>
          <w:p>
            <w:pPr>
              <w:spacing w:after="0"/>
              <w:rPr>
                <w:sz w:val="13"/>
                <w:szCs w:val="13"/>
                <w:color w:val="auto"/>
              </w:rPr>
            </w:pP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5,059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10,520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center"/>
              <w:ind w:left="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15,579</w:t>
            </w: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Contract assets and unbilled receivable, net</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14,892</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3,259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18,151</w:t>
            </w:r>
          </w:p>
        </w:tc>
        <w:tc>
          <w:tcPr>
            <w:tcW w:w="0" w:type="dxa"/>
            <w:vAlign w:val="bottom"/>
          </w:tcPr>
          <w:p>
            <w:pPr>
              <w:spacing w:after="0"/>
              <w:rPr>
                <w:sz w:val="1"/>
                <w:szCs w:val="1"/>
                <w:color w:val="auto"/>
              </w:rPr>
            </w:pPr>
          </w:p>
        </w:tc>
      </w:tr>
      <w:tr>
        <w:trPr>
          <w:trHeight w:val="156"/>
        </w:trPr>
        <w:tc>
          <w:tcPr>
            <w:tcW w:w="2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Other current assets</w:t>
            </w:r>
          </w:p>
        </w:tc>
        <w:tc>
          <w:tcPr>
            <w:tcW w:w="140" w:type="dxa"/>
            <w:vAlign w:val="bottom"/>
          </w:tcPr>
          <w:p>
            <w:pPr>
              <w:spacing w:after="0"/>
              <w:rPr>
                <w:sz w:val="13"/>
                <w:szCs w:val="13"/>
                <w:color w:val="auto"/>
              </w:rPr>
            </w:pP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3,949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6,294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(2,245)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4(b)</w:t>
            </w:r>
          </w:p>
        </w:tc>
        <w:tc>
          <w:tcPr>
            <w:tcW w:w="160" w:type="dxa"/>
            <w:vAlign w:val="bottom"/>
          </w:tcPr>
          <w:p>
            <w:pPr>
              <w:spacing w:after="0"/>
              <w:rPr>
                <w:sz w:val="13"/>
                <w:szCs w:val="13"/>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7,998</w:t>
            </w:r>
          </w:p>
        </w:tc>
        <w:tc>
          <w:tcPr>
            <w:tcW w:w="0" w:type="dxa"/>
            <w:vAlign w:val="bottom"/>
          </w:tcPr>
          <w:p>
            <w:pPr>
              <w:spacing w:after="0"/>
              <w:rPr>
                <w:sz w:val="1"/>
                <w:szCs w:val="1"/>
                <w:color w:val="auto"/>
              </w:rPr>
            </w:pPr>
          </w:p>
        </w:tc>
      </w:tr>
      <w:tr>
        <w:trPr>
          <w:trHeight w:val="39"/>
        </w:trPr>
        <w:tc>
          <w:tcPr>
            <w:tcW w:w="24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Total current assets</w:t>
            </w:r>
          </w:p>
        </w:tc>
        <w:tc>
          <w:tcPr>
            <w:tcW w:w="1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224,056</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22,790</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(10,652)</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(70,000)</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166,194</w:t>
            </w:r>
          </w:p>
        </w:tc>
        <w:tc>
          <w:tcPr>
            <w:tcW w:w="0" w:type="dxa"/>
            <w:vAlign w:val="bottom"/>
          </w:tcPr>
          <w:p>
            <w:pPr>
              <w:spacing w:after="0"/>
              <w:rPr>
                <w:sz w:val="1"/>
                <w:szCs w:val="1"/>
                <w:color w:val="auto"/>
              </w:rPr>
            </w:pPr>
          </w:p>
        </w:tc>
      </w:tr>
      <w:tr>
        <w:trPr>
          <w:trHeight w:val="244"/>
        </w:trPr>
        <w:tc>
          <w:tcPr>
            <w:tcW w:w="2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Restricted cash equivalents, non-current</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811</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811</w:t>
            </w:r>
          </w:p>
        </w:tc>
        <w:tc>
          <w:tcPr>
            <w:tcW w:w="0" w:type="dxa"/>
            <w:vAlign w:val="bottom"/>
          </w:tcPr>
          <w:p>
            <w:pPr>
              <w:spacing w:after="0"/>
              <w:rPr>
                <w:sz w:val="1"/>
                <w:szCs w:val="1"/>
                <w:color w:val="auto"/>
              </w:rPr>
            </w:pPr>
          </w:p>
        </w:tc>
      </w:tr>
      <w:tr>
        <w:trPr>
          <w:trHeight w:val="156"/>
        </w:trPr>
        <w:tc>
          <w:tcPr>
            <w:tcW w:w="24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Right-of-use assets</w:t>
            </w:r>
          </w:p>
        </w:tc>
        <w:tc>
          <w:tcPr>
            <w:tcW w:w="140" w:type="dxa"/>
            <w:vAlign w:val="bottom"/>
          </w:tcPr>
          <w:p>
            <w:pPr>
              <w:spacing w:after="0"/>
              <w:rPr>
                <w:sz w:val="13"/>
                <w:szCs w:val="13"/>
                <w:color w:val="auto"/>
              </w:rPr>
            </w:pP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4,303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center"/>
              <w:ind w:left="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4,539</w:t>
            </w: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1,296</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1,666</w:t>
            </w:r>
          </w:p>
        </w:tc>
        <w:tc>
          <w:tcPr>
            <w:tcW w:w="0" w:type="dxa"/>
            <w:vAlign w:val="bottom"/>
          </w:tcPr>
          <w:p>
            <w:pPr>
              <w:spacing w:after="0"/>
              <w:rPr>
                <w:sz w:val="1"/>
                <w:szCs w:val="1"/>
                <w:color w:val="auto"/>
              </w:rPr>
            </w:pPr>
          </w:p>
        </w:tc>
      </w:tr>
      <w:tr>
        <w:trPr>
          <w:trHeight w:val="156"/>
        </w:trPr>
        <w:tc>
          <w:tcPr>
            <w:tcW w:w="24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Goodwill</w:t>
            </w:r>
          </w:p>
        </w:tc>
        <w:tc>
          <w:tcPr>
            <w:tcW w:w="140" w:type="dxa"/>
            <w:vAlign w:val="bottom"/>
          </w:tcPr>
          <w:p>
            <w:pPr>
              <w:spacing w:after="0"/>
              <w:rPr>
                <w:sz w:val="13"/>
                <w:szCs w:val="13"/>
                <w:color w:val="auto"/>
              </w:rPr>
            </w:pP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6,039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107,307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(4,247)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4(c)</w:t>
            </w:r>
          </w:p>
        </w:tc>
        <w:tc>
          <w:tcPr>
            <w:tcW w:w="160" w:type="dxa"/>
            <w:vAlign w:val="bottom"/>
          </w:tcPr>
          <w:p>
            <w:pPr>
              <w:spacing w:after="0"/>
              <w:rPr>
                <w:sz w:val="13"/>
                <w:szCs w:val="13"/>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109,099</w:t>
            </w: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Intangible assets, net</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13,147</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47,971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126,529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4(d)</w:t>
            </w: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187,647</w:t>
            </w:r>
          </w:p>
        </w:tc>
        <w:tc>
          <w:tcPr>
            <w:tcW w:w="0" w:type="dxa"/>
            <w:vAlign w:val="bottom"/>
          </w:tcPr>
          <w:p>
            <w:pPr>
              <w:spacing w:after="0"/>
              <w:rPr>
                <w:sz w:val="1"/>
                <w:szCs w:val="1"/>
                <w:color w:val="auto"/>
              </w:rPr>
            </w:pPr>
          </w:p>
        </w:tc>
      </w:tr>
      <w:tr>
        <w:trPr>
          <w:trHeight w:val="156"/>
        </w:trPr>
        <w:tc>
          <w:tcPr>
            <w:tcW w:w="24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Deferred tax asset</w:t>
            </w:r>
          </w:p>
        </w:tc>
        <w:tc>
          <w:tcPr>
            <w:tcW w:w="140" w:type="dxa"/>
            <w:vAlign w:val="bottom"/>
          </w:tcPr>
          <w:p>
            <w:pPr>
              <w:spacing w:after="0"/>
              <w:rPr>
                <w:sz w:val="13"/>
                <w:szCs w:val="13"/>
                <w:color w:val="auto"/>
              </w:rPr>
            </w:pP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center"/>
              <w:ind w:left="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2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Contract assets and unbilled receivable, non-</w:t>
            </w: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15,518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15,518</w:t>
            </w:r>
          </w:p>
        </w:tc>
        <w:tc>
          <w:tcPr>
            <w:tcW w:w="0" w:type="dxa"/>
            <w:vAlign w:val="bottom"/>
          </w:tcPr>
          <w:p>
            <w:pPr>
              <w:spacing w:after="0"/>
              <w:rPr>
                <w:sz w:val="1"/>
                <w:szCs w:val="1"/>
                <w:color w:val="auto"/>
              </w:rPr>
            </w:pPr>
          </w:p>
        </w:tc>
      </w:tr>
      <w:tr>
        <w:trPr>
          <w:trHeight w:val="154"/>
        </w:trPr>
        <w:tc>
          <w:tcPr>
            <w:tcW w:w="2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current, net</w:t>
            </w:r>
          </w:p>
        </w:tc>
        <w:tc>
          <w:tcPr>
            <w:tcW w:w="1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Other non-current assets</w:t>
            </w:r>
          </w:p>
        </w:tc>
        <w:tc>
          <w:tcPr>
            <w:tcW w:w="140" w:type="dxa"/>
            <w:vAlign w:val="bottom"/>
          </w:tcPr>
          <w:p>
            <w:pPr>
              <w:spacing w:after="0"/>
              <w:rPr>
                <w:sz w:val="13"/>
                <w:szCs w:val="13"/>
                <w:color w:val="auto"/>
              </w:rPr>
            </w:pP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1,494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4,990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(2,163)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4(b)</w:t>
            </w:r>
          </w:p>
        </w:tc>
        <w:tc>
          <w:tcPr>
            <w:tcW w:w="160" w:type="dxa"/>
            <w:vAlign w:val="bottom"/>
          </w:tcPr>
          <w:p>
            <w:pPr>
              <w:spacing w:after="0"/>
              <w:rPr>
                <w:sz w:val="13"/>
                <w:szCs w:val="13"/>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5,549</w:t>
            </w: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24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1,228</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4(e)</w:t>
            </w: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4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Total assets</w:t>
            </w: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266,674</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183,664</w:t>
            </w:r>
          </w:p>
        </w:tc>
        <w:tc>
          <w:tcPr>
            <w:tcW w:w="10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110,695</w:t>
            </w:r>
          </w:p>
        </w:tc>
        <w:tc>
          <w:tcPr>
            <w:tcW w:w="1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(70,000)</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491,033</w:t>
            </w: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46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LIABILITIES AND STOCKHOLDERS’</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660"/>
              <w:spacing w:after="0"/>
              <w:rPr>
                <w:sz w:val="20"/>
                <w:szCs w:val="20"/>
                <w:color w:val="auto"/>
              </w:rPr>
            </w:pPr>
            <w:r>
              <w:rPr>
                <w:rFonts w:ascii="Times New Roman" w:cs="Times New Roman" w:eastAsia="Times New Roman" w:hAnsi="Times New Roman"/>
                <w:sz w:val="11"/>
                <w:szCs w:val="11"/>
                <w:b w:val="1"/>
                <w:bCs w:val="1"/>
                <w:color w:val="auto"/>
              </w:rPr>
              <w:t>EQUITY (DEFICIT)</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Current liabilities:</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Accounts payable</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4,255</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12,312</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16,567</w:t>
            </w: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Accrued liabilities</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13,147</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11,738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1,328</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4(f)</w:t>
            </w: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30,799</w:t>
            </w:r>
          </w:p>
        </w:tc>
        <w:tc>
          <w:tcPr>
            <w:tcW w:w="0" w:type="dxa"/>
            <w:vAlign w:val="bottom"/>
          </w:tcPr>
          <w:p>
            <w:pPr>
              <w:spacing w:after="0"/>
              <w:rPr>
                <w:sz w:val="1"/>
                <w:szCs w:val="1"/>
                <w:color w:val="auto"/>
              </w:rPr>
            </w:pPr>
          </w:p>
        </w:tc>
      </w:tr>
      <w:tr>
        <w:trPr>
          <w:trHeight w:val="156"/>
        </w:trPr>
        <w:tc>
          <w:tcPr>
            <w:tcW w:w="2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4,586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4(g)</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2,285</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2,502</w:t>
            </w:r>
          </w:p>
        </w:tc>
        <w:tc>
          <w:tcPr>
            <w:tcW w:w="0" w:type="dxa"/>
            <w:vAlign w:val="bottom"/>
          </w:tcPr>
          <w:p>
            <w:pPr>
              <w:spacing w:after="0"/>
              <w:rPr>
                <w:sz w:val="1"/>
                <w:szCs w:val="1"/>
                <w:color w:val="auto"/>
              </w:rPr>
            </w:pPr>
          </w:p>
        </w:tc>
      </w:tr>
      <w:tr>
        <w:trPr>
          <w:trHeight w:val="156"/>
        </w:trPr>
        <w:tc>
          <w:tcPr>
            <w:tcW w:w="2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Finance lease liabilities</w:t>
            </w:r>
          </w:p>
        </w:tc>
        <w:tc>
          <w:tcPr>
            <w:tcW w:w="140" w:type="dxa"/>
            <w:vAlign w:val="bottom"/>
          </w:tcPr>
          <w:p>
            <w:pPr>
              <w:spacing w:after="0"/>
              <w:rPr>
                <w:sz w:val="13"/>
                <w:szCs w:val="13"/>
                <w:color w:val="auto"/>
              </w:rPr>
            </w:pP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center"/>
              <w:ind w:left="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99</w:t>
            </w: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Income tax liability</w:t>
            </w: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1,888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5,770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4(e)</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7,858</w:t>
            </w:r>
          </w:p>
        </w:tc>
        <w:tc>
          <w:tcPr>
            <w:tcW w:w="0" w:type="dxa"/>
            <w:vAlign w:val="bottom"/>
          </w:tcPr>
          <w:p>
            <w:pPr>
              <w:spacing w:after="0"/>
              <w:rPr>
                <w:sz w:val="1"/>
                <w:szCs w:val="1"/>
                <w:color w:val="auto"/>
              </w:rPr>
            </w:pPr>
          </w:p>
        </w:tc>
      </w:tr>
      <w:tr>
        <w:trPr>
          <w:trHeight w:val="161"/>
        </w:trPr>
        <w:tc>
          <w:tcPr>
            <w:tcW w:w="2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Deferred revenue</w:t>
            </w:r>
          </w:p>
        </w:tc>
        <w:tc>
          <w:tcPr>
            <w:tcW w:w="140" w:type="dxa"/>
            <w:vAlign w:val="bottom"/>
          </w:tcPr>
          <w:p>
            <w:pPr>
              <w:spacing w:after="0"/>
              <w:rPr>
                <w:sz w:val="13"/>
                <w:szCs w:val="13"/>
                <w:color w:val="auto"/>
              </w:rPr>
            </w:pP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2,931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26,791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center"/>
              <w:ind w:left="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29,722</w:t>
            </w: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Current portion of long-term debt</w:t>
            </w: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96,014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(26,014)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(70,000)</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4(j), 5(a)</w:t>
            </w: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2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140" w:type="dxa"/>
            <w:vAlign w:val="bottom"/>
          </w:tcPr>
          <w:p>
            <w:pPr>
              <w:spacing w:after="0"/>
              <w:rPr>
                <w:sz w:val="13"/>
                <w:szCs w:val="13"/>
                <w:color w:val="auto"/>
              </w:rPr>
            </w:pP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968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858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center"/>
              <w:ind w:left="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1,826</w:t>
            </w:r>
          </w:p>
        </w:tc>
        <w:tc>
          <w:tcPr>
            <w:tcW w:w="0" w:type="dxa"/>
            <w:vAlign w:val="bottom"/>
          </w:tcPr>
          <w:p>
            <w:pPr>
              <w:spacing w:after="0"/>
              <w:rPr>
                <w:sz w:val="1"/>
                <w:szCs w:val="1"/>
                <w:color w:val="auto"/>
              </w:rPr>
            </w:pPr>
          </w:p>
        </w:tc>
      </w:tr>
      <w:tr>
        <w:trPr>
          <w:trHeight w:val="39"/>
        </w:trPr>
        <w:tc>
          <w:tcPr>
            <w:tcW w:w="24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1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25,537</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153,736</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(19,900)</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(70,000)</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89,373</w:t>
            </w:r>
          </w:p>
        </w:tc>
        <w:tc>
          <w:tcPr>
            <w:tcW w:w="0" w:type="dxa"/>
            <w:vAlign w:val="bottom"/>
          </w:tcPr>
          <w:p>
            <w:pPr>
              <w:spacing w:after="0"/>
              <w:rPr>
                <w:sz w:val="1"/>
                <w:szCs w:val="1"/>
                <w:color w:val="auto"/>
              </w:rPr>
            </w:pPr>
          </w:p>
        </w:tc>
      </w:tr>
      <w:tr>
        <w:trPr>
          <w:trHeight w:val="244"/>
        </w:trPr>
        <w:tc>
          <w:tcPr>
            <w:tcW w:w="2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Operating lease liabilities, net of current portion</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2,175</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2,209</w:t>
            </w:r>
          </w:p>
        </w:tc>
        <w:tc>
          <w:tcPr>
            <w:tcW w:w="0" w:type="dxa"/>
            <w:vAlign w:val="bottom"/>
          </w:tcPr>
          <w:p>
            <w:pPr>
              <w:spacing w:after="0"/>
              <w:rPr>
                <w:sz w:val="1"/>
                <w:szCs w:val="1"/>
                <w:color w:val="auto"/>
              </w:rPr>
            </w:pPr>
          </w:p>
        </w:tc>
      </w:tr>
      <w:tr>
        <w:trPr>
          <w:trHeight w:val="156"/>
        </w:trPr>
        <w:tc>
          <w:tcPr>
            <w:tcW w:w="24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Deferred revenue, net of current portion</w:t>
            </w:r>
          </w:p>
        </w:tc>
        <w:tc>
          <w:tcPr>
            <w:tcW w:w="140" w:type="dxa"/>
            <w:vAlign w:val="bottom"/>
          </w:tcPr>
          <w:p>
            <w:pPr>
              <w:spacing w:after="0"/>
              <w:rPr>
                <w:sz w:val="13"/>
                <w:szCs w:val="13"/>
                <w:color w:val="auto"/>
              </w:rPr>
            </w:pP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3,766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5,722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center"/>
              <w:ind w:left="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9,488</w:t>
            </w: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Contingent acquisition liabilities</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4,410</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71,560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4(a)</w:t>
            </w: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75,970</w:t>
            </w:r>
          </w:p>
        </w:tc>
        <w:tc>
          <w:tcPr>
            <w:tcW w:w="0" w:type="dxa"/>
            <w:vAlign w:val="bottom"/>
          </w:tcPr>
          <w:p>
            <w:pPr>
              <w:spacing w:after="0"/>
              <w:rPr>
                <w:sz w:val="1"/>
                <w:szCs w:val="1"/>
                <w:color w:val="auto"/>
              </w:rPr>
            </w:pPr>
          </w:p>
        </w:tc>
      </w:tr>
      <w:tr>
        <w:trPr>
          <w:trHeight w:val="156"/>
        </w:trPr>
        <w:tc>
          <w:tcPr>
            <w:tcW w:w="24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Income tax liability, net of current portion</w:t>
            </w:r>
          </w:p>
        </w:tc>
        <w:tc>
          <w:tcPr>
            <w:tcW w:w="140" w:type="dxa"/>
            <w:vAlign w:val="bottom"/>
          </w:tcPr>
          <w:p>
            <w:pPr>
              <w:spacing w:after="0"/>
              <w:rPr>
                <w:sz w:val="13"/>
                <w:szCs w:val="13"/>
                <w:color w:val="auto"/>
              </w:rPr>
            </w:pP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2,275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center"/>
              <w:ind w:left="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2,275</w:t>
            </w: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Deferred tax liability</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12,353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4(h)</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12,327</w:t>
            </w:r>
          </w:p>
        </w:tc>
        <w:tc>
          <w:tcPr>
            <w:tcW w:w="0" w:type="dxa"/>
            <w:vAlign w:val="bottom"/>
          </w:tcPr>
          <w:p>
            <w:pPr>
              <w:spacing w:after="0"/>
              <w:rPr>
                <w:sz w:val="1"/>
                <w:szCs w:val="1"/>
                <w:color w:val="auto"/>
              </w:rPr>
            </w:pPr>
          </w:p>
        </w:tc>
      </w:tr>
      <w:tr>
        <w:trPr>
          <w:trHeight w:val="161"/>
        </w:trPr>
        <w:tc>
          <w:tcPr>
            <w:tcW w:w="2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Long-term debt</w:t>
            </w:r>
          </w:p>
        </w:tc>
        <w:tc>
          <w:tcPr>
            <w:tcW w:w="14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51,511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(11,817)</w:t>
            </w:r>
          </w:p>
        </w:tc>
        <w:tc>
          <w:tcPr>
            <w:tcW w:w="10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4(j), 5(b)</w:t>
            </w:r>
          </w:p>
        </w:tc>
        <w:tc>
          <w:tcPr>
            <w:tcW w:w="160" w:type="dxa"/>
            <w:vAlign w:val="bottom"/>
          </w:tcPr>
          <w:p>
            <w:pPr>
              <w:spacing w:after="0"/>
              <w:rPr>
                <w:sz w:val="13"/>
                <w:szCs w:val="13"/>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39,694</w:t>
            </w: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Other non-current liabilities</w:t>
            </w: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4,570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5,462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(5,424)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4(i)</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4,608</w:t>
            </w:r>
          </w:p>
        </w:tc>
        <w:tc>
          <w:tcPr>
            <w:tcW w:w="0" w:type="dxa"/>
            <w:vAlign w:val="bottom"/>
          </w:tcPr>
          <w:p>
            <w:pPr>
              <w:spacing w:after="0"/>
              <w:rPr>
                <w:sz w:val="1"/>
                <w:szCs w:val="1"/>
                <w:color w:val="auto"/>
              </w:rPr>
            </w:pPr>
          </w:p>
        </w:tc>
      </w:tr>
      <w:tr>
        <w:trPr>
          <w:trHeight w:val="161"/>
        </w:trPr>
        <w:tc>
          <w:tcPr>
            <w:tcW w:w="24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Total liabilities</w:t>
            </w:r>
          </w:p>
        </w:tc>
        <w:tc>
          <w:tcPr>
            <w:tcW w:w="140" w:type="dxa"/>
            <w:vAlign w:val="bottom"/>
          </w:tcPr>
          <w:p>
            <w:pPr>
              <w:spacing w:after="0"/>
              <w:rPr>
                <w:sz w:val="12"/>
                <w:szCs w:val="12"/>
                <w:color w:val="auto"/>
              </w:rPr>
            </w:pP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42,733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177,307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97,721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(81,817)</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235,944</w:t>
            </w: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Stockholders’ equity:</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Series A Preferred Stock</w:t>
            </w:r>
          </w:p>
        </w:tc>
        <w:tc>
          <w:tcPr>
            <w:tcW w:w="14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center"/>
              <w:ind w:left="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Class A Common Stock</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4(a), 5(b)</w:t>
            </w: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32</w:t>
            </w:r>
          </w:p>
        </w:tc>
        <w:tc>
          <w:tcPr>
            <w:tcW w:w="0" w:type="dxa"/>
            <w:vAlign w:val="bottom"/>
          </w:tcPr>
          <w:p>
            <w:pPr>
              <w:spacing w:after="0"/>
              <w:rPr>
                <w:sz w:val="1"/>
                <w:szCs w:val="1"/>
                <w:color w:val="auto"/>
              </w:rPr>
            </w:pPr>
          </w:p>
        </w:tc>
      </w:tr>
      <w:tr>
        <w:trPr>
          <w:trHeight w:val="156"/>
        </w:trPr>
        <w:tc>
          <w:tcPr>
            <w:tcW w:w="2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Class B Common Stock</w:t>
            </w:r>
          </w:p>
        </w:tc>
        <w:tc>
          <w:tcPr>
            <w:tcW w:w="140" w:type="dxa"/>
            <w:vAlign w:val="bottom"/>
          </w:tcPr>
          <w:p>
            <w:pPr>
              <w:spacing w:after="0"/>
              <w:rPr>
                <w:sz w:val="13"/>
                <w:szCs w:val="13"/>
                <w:color w:val="auto"/>
              </w:rPr>
            </w:pP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center"/>
              <w:ind w:left="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Common Stock, Amelia</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4(k)</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1"/>
        </w:trPr>
        <w:tc>
          <w:tcPr>
            <w:tcW w:w="2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Preferred Stock, Amelia</w:t>
            </w:r>
          </w:p>
        </w:tc>
        <w:tc>
          <w:tcPr>
            <w:tcW w:w="14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267,680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(267,680)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4(k)</w:t>
            </w:r>
          </w:p>
        </w:tc>
        <w:tc>
          <w:tcPr>
            <w:tcW w:w="160" w:type="dxa"/>
            <w:vAlign w:val="bottom"/>
          </w:tcPr>
          <w:p>
            <w:pPr>
              <w:spacing w:after="0"/>
              <w:rPr>
                <w:sz w:val="13"/>
                <w:szCs w:val="13"/>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1"/>
        </w:trPr>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886,412</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23,918</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11,817</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4(a), 5(b)</w:t>
            </w: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922,147</w:t>
            </w:r>
          </w:p>
        </w:tc>
        <w:tc>
          <w:tcPr>
            <w:tcW w:w="0" w:type="dxa"/>
            <w:vAlign w:val="bottom"/>
          </w:tcPr>
          <w:p>
            <w:pPr>
              <w:spacing w:after="0"/>
              <w:rPr>
                <w:sz w:val="1"/>
                <w:szCs w:val="1"/>
                <w:color w:val="auto"/>
              </w:rPr>
            </w:pPr>
          </w:p>
        </w:tc>
      </w:tr>
      <w:tr>
        <w:trPr>
          <w:trHeight w:val="156"/>
        </w:trPr>
        <w:tc>
          <w:tcPr>
            <w:tcW w:w="2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Accumulated deficit</w:t>
            </w:r>
          </w:p>
        </w:tc>
        <w:tc>
          <w:tcPr>
            <w:tcW w:w="140" w:type="dxa"/>
            <w:vAlign w:val="bottom"/>
          </w:tcPr>
          <w:p>
            <w:pPr>
              <w:spacing w:after="0"/>
              <w:rPr>
                <w:sz w:val="13"/>
                <w:szCs w:val="13"/>
                <w:color w:val="auto"/>
              </w:rPr>
            </w:pP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(662,710)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(258,813)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(4,408)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4(b)</w:t>
            </w:r>
          </w:p>
        </w:tc>
        <w:tc>
          <w:tcPr>
            <w:tcW w:w="160" w:type="dxa"/>
            <w:vAlign w:val="bottom"/>
          </w:tcPr>
          <w:p>
            <w:pPr>
              <w:spacing w:after="0"/>
              <w:rPr>
                <w:sz w:val="13"/>
                <w:szCs w:val="13"/>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(667,298)</w:t>
            </w: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(4,247)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4(c)</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4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126,529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4(d)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1,029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4(e)</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4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(1,328)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4(f)</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4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(4,586)</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4(g)</w:t>
            </w: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4(h)</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5,424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4(i)</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4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(25,497)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4(j)</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161,283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4(k)</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Accumulated other comprehensive income</w:t>
            </w:r>
          </w:p>
        </w:tc>
        <w:tc>
          <w:tcPr>
            <w:tcW w:w="140" w:type="dxa"/>
            <w:vAlign w:val="bottom"/>
          </w:tcPr>
          <w:p>
            <w:pPr>
              <w:spacing w:after="0"/>
              <w:rPr>
                <w:sz w:val="13"/>
                <w:szCs w:val="13"/>
                <w:color w:val="auto"/>
              </w:rPr>
            </w:pP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205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(2,610)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2,610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4(k)</w:t>
            </w:r>
          </w:p>
        </w:tc>
        <w:tc>
          <w:tcPr>
            <w:tcW w:w="160" w:type="dxa"/>
            <w:vAlign w:val="bottom"/>
          </w:tcPr>
          <w:p>
            <w:pPr>
              <w:spacing w:after="0"/>
              <w:rPr>
                <w:sz w:val="13"/>
                <w:szCs w:val="13"/>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205</w:t>
            </w:r>
          </w:p>
        </w:tc>
        <w:tc>
          <w:tcPr>
            <w:tcW w:w="0" w:type="dxa"/>
            <w:vAlign w:val="bottom"/>
          </w:tcPr>
          <w:p>
            <w:pPr>
              <w:spacing w:after="0"/>
              <w:rPr>
                <w:sz w:val="1"/>
                <w:szCs w:val="1"/>
                <w:color w:val="auto"/>
              </w:rPr>
            </w:pPr>
          </w:p>
        </w:tc>
      </w:tr>
      <w:tr>
        <w:trPr>
          <w:trHeight w:val="161"/>
        </w:trPr>
        <w:tc>
          <w:tcPr>
            <w:tcW w:w="24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223,941</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6,357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12,974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11,817</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255,089</w:t>
            </w:r>
          </w:p>
        </w:tc>
        <w:tc>
          <w:tcPr>
            <w:tcW w:w="0" w:type="dxa"/>
            <w:vAlign w:val="bottom"/>
          </w:tcPr>
          <w:p>
            <w:pPr>
              <w:spacing w:after="0"/>
              <w:rPr>
                <w:sz w:val="1"/>
                <w:szCs w:val="1"/>
                <w:color w:val="auto"/>
              </w:rPr>
            </w:pPr>
          </w:p>
        </w:tc>
      </w:tr>
      <w:tr>
        <w:trPr>
          <w:trHeight w:val="148"/>
        </w:trPr>
        <w:tc>
          <w:tcPr>
            <w:tcW w:w="24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Total liabilities and stockholders’ equity</w:t>
            </w: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266,674</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183,664</w:t>
            </w:r>
          </w:p>
        </w:tc>
        <w:tc>
          <w:tcPr>
            <w:tcW w:w="10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110,695</w:t>
            </w:r>
          </w:p>
        </w:tc>
        <w:tc>
          <w:tcPr>
            <w:tcW w:w="1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(70,000)</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491,033</w:t>
            </w: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See Notes to the Unaudited Pro Forma Condensed Combined Financial Statements.</w:t>
      </w:r>
    </w:p>
    <w:p>
      <w:pPr>
        <w:sectPr>
          <w:pgSz w:w="11900" w:h="16838" w:orient="portrait"/>
          <w:cols w:equalWidth="0" w:num="1">
            <w:col w:w="9019"/>
          </w:cols>
          <w:pgMar w:left="1440" w:top="171" w:right="1440" w:bottom="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the Year Ended December 31, 2023</w:t>
      </w:r>
    </w:p>
    <w:p>
      <w:pPr>
        <w:sectPr>
          <w:pgSz w:w="11900" w:h="16838" w:orient="portrait"/>
          <w:cols w:equalWidth="0" w:num="1">
            <w:col w:w="9019"/>
          </w:cols>
          <w:pgMar w:left="1440" w:top="171" w:right="1440" w:bottom="0" w:gutter="0" w:footer="0" w:header="0"/>
          <w:type w:val="continuous"/>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3"/>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Transaction Accounting Adjustments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Amelia Holdings</w:t>
            </w: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2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gridSpan w:val="2"/>
            <w:vMerge w:val="continue"/>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4"/>
        </w:trPr>
        <w:tc>
          <w:tcPr>
            <w:tcW w:w="2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Historical – After</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Reclassification</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SoundHound</w:t>
            </w:r>
          </w:p>
        </w:tc>
        <w:tc>
          <w:tcPr>
            <w:tcW w:w="80" w:type="dxa"/>
            <w:vAlign w:val="bottom"/>
          </w:tcPr>
          <w:p>
            <w:pPr>
              <w:spacing w:after="0"/>
              <w:rPr>
                <w:sz w:val="11"/>
                <w:szCs w:val="11"/>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Adjustments (Note</w:t>
            </w:r>
          </w:p>
        </w:tc>
        <w:tc>
          <w:tcPr>
            <w:tcW w:w="80" w:type="dxa"/>
            <w:vAlign w:val="bottom"/>
          </w:tcPr>
          <w:p>
            <w:pPr>
              <w:spacing w:after="0"/>
              <w:rPr>
                <w:sz w:val="11"/>
                <w:szCs w:val="11"/>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Amelia</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Note</w:t>
            </w:r>
          </w:p>
        </w:tc>
        <w:tc>
          <w:tcPr>
            <w:tcW w:w="160" w:type="dxa"/>
            <w:vAlign w:val="bottom"/>
          </w:tcPr>
          <w:p>
            <w:pPr>
              <w:spacing w:after="0"/>
              <w:rPr>
                <w:sz w:val="11"/>
                <w:szCs w:val="11"/>
                <w:color w:val="auto"/>
              </w:rPr>
            </w:pPr>
          </w:p>
        </w:tc>
        <w:tc>
          <w:tcPr>
            <w:tcW w:w="820" w:type="dxa"/>
            <w:vAlign w:val="bottom"/>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80" w:type="dxa"/>
            <w:vAlign w:val="bottom"/>
          </w:tcPr>
          <w:p>
            <w:pPr>
              <w:spacing w:after="0"/>
              <w:rPr>
                <w:sz w:val="12"/>
                <w:szCs w:val="12"/>
                <w:color w:val="auto"/>
              </w:rPr>
            </w:pPr>
          </w:p>
        </w:tc>
        <w:tc>
          <w:tcPr>
            <w:tcW w:w="100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Acquisition</w:t>
            </w: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Debt Paydown</w:t>
            </w:r>
          </w:p>
        </w:tc>
        <w:tc>
          <w:tcPr>
            <w:tcW w:w="100" w:type="dxa"/>
            <w:vAlign w:val="bottom"/>
          </w:tcPr>
          <w:p>
            <w:pPr>
              <w:spacing w:after="0"/>
              <w:rPr>
                <w:sz w:val="12"/>
                <w:szCs w:val="12"/>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60" w:type="dxa"/>
            <w:vAlign w:val="bottom"/>
          </w:tcPr>
          <w:p>
            <w:pPr>
              <w:spacing w:after="0"/>
              <w:rPr>
                <w:sz w:val="12"/>
                <w:szCs w:val="12"/>
                <w:color w:val="auto"/>
              </w:rPr>
            </w:pPr>
          </w:p>
        </w:tc>
        <w:tc>
          <w:tcPr>
            <w:tcW w:w="820" w:type="dxa"/>
            <w:vAlign w:val="bottom"/>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Combined</w:t>
            </w:r>
          </w:p>
        </w:tc>
        <w:tc>
          <w:tcPr>
            <w:tcW w:w="0" w:type="dxa"/>
            <w:vAlign w:val="bottom"/>
          </w:tcPr>
          <w:p>
            <w:pPr>
              <w:spacing w:after="0"/>
              <w:rPr>
                <w:sz w:val="1"/>
                <w:szCs w:val="1"/>
                <w:color w:val="auto"/>
              </w:rPr>
            </w:pPr>
          </w:p>
        </w:tc>
      </w:tr>
      <w:tr>
        <w:trPr>
          <w:trHeight w:val="39"/>
        </w:trPr>
        <w:tc>
          <w:tcPr>
            <w:tcW w:w="28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2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8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45,873</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93,274</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139,147</w:t>
            </w:r>
          </w:p>
        </w:tc>
        <w:tc>
          <w:tcPr>
            <w:tcW w:w="0" w:type="dxa"/>
            <w:vAlign w:val="bottom"/>
          </w:tcPr>
          <w:p>
            <w:pPr>
              <w:spacing w:after="0"/>
              <w:rPr>
                <w:sz w:val="1"/>
                <w:szCs w:val="1"/>
                <w:color w:val="auto"/>
              </w:rPr>
            </w:pPr>
          </w:p>
        </w:tc>
      </w:tr>
      <w:tr>
        <w:trPr>
          <w:trHeight w:val="148"/>
        </w:trPr>
        <w:tc>
          <w:tcPr>
            <w:tcW w:w="2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Operating expenses:</w:t>
            </w: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Cost of revenues</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11,307</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65,691</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10,980</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6(a)</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87,978</w:t>
            </w:r>
          </w:p>
        </w:tc>
        <w:tc>
          <w:tcPr>
            <w:tcW w:w="0" w:type="dxa"/>
            <w:vAlign w:val="bottom"/>
          </w:tcPr>
          <w:p>
            <w:pPr>
              <w:spacing w:after="0"/>
              <w:rPr>
                <w:sz w:val="1"/>
                <w:szCs w:val="1"/>
                <w:color w:val="auto"/>
              </w:rPr>
            </w:pPr>
          </w:p>
        </w:tc>
      </w:tr>
      <w:tr>
        <w:trPr>
          <w:trHeight w:val="156"/>
        </w:trPr>
        <w:tc>
          <w:tcPr>
            <w:tcW w:w="28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Sales and marketing</w:t>
            </w:r>
          </w:p>
        </w:tc>
        <w:tc>
          <w:tcPr>
            <w:tcW w:w="12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18,893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25,060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(388)</w:t>
            </w:r>
          </w:p>
        </w:tc>
        <w:tc>
          <w:tcPr>
            <w:tcW w:w="100" w:type="dxa"/>
            <w:vAlign w:val="bottom"/>
          </w:tcPr>
          <w:p>
            <w:pPr>
              <w:spacing w:after="0"/>
              <w:rPr>
                <w:sz w:val="13"/>
                <w:szCs w:val="13"/>
                <w:color w:val="auto"/>
              </w:rPr>
            </w:pP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6(b)</w:t>
            </w:r>
          </w:p>
        </w:tc>
        <w:tc>
          <w:tcPr>
            <w:tcW w:w="16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43,565</w:t>
            </w:r>
          </w:p>
        </w:tc>
        <w:tc>
          <w:tcPr>
            <w:tcW w:w="0" w:type="dxa"/>
            <w:vAlign w:val="bottom"/>
          </w:tcPr>
          <w:p>
            <w:pPr>
              <w:spacing w:after="0"/>
              <w:rPr>
                <w:sz w:val="1"/>
                <w:szCs w:val="1"/>
                <w:color w:val="auto"/>
              </w:rPr>
            </w:pPr>
          </w:p>
        </w:tc>
      </w:tr>
      <w:tr>
        <w:trPr>
          <w:trHeight w:val="39"/>
        </w:trPr>
        <w:tc>
          <w:tcPr>
            <w:tcW w:w="2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Research and development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51,439</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13,582</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65,021</w:t>
            </w:r>
          </w:p>
        </w:tc>
        <w:tc>
          <w:tcPr>
            <w:tcW w:w="0" w:type="dxa"/>
            <w:vAlign w:val="bottom"/>
          </w:tcPr>
          <w:p>
            <w:pPr>
              <w:spacing w:after="0"/>
              <w:rPr>
                <w:sz w:val="1"/>
                <w:szCs w:val="1"/>
                <w:color w:val="auto"/>
              </w:rPr>
            </w:pPr>
          </w:p>
        </w:tc>
      </w:tr>
      <w:tr>
        <w:trPr>
          <w:trHeight w:val="156"/>
        </w:trPr>
        <w:tc>
          <w:tcPr>
            <w:tcW w:w="28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12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28,285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29,129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14,321</w:t>
            </w:r>
          </w:p>
        </w:tc>
        <w:tc>
          <w:tcPr>
            <w:tcW w:w="100" w:type="dxa"/>
            <w:vAlign w:val="bottom"/>
          </w:tcPr>
          <w:p>
            <w:pPr>
              <w:spacing w:after="0"/>
              <w:rPr>
                <w:sz w:val="13"/>
                <w:szCs w:val="13"/>
                <w:color w:val="auto"/>
              </w:rPr>
            </w:pP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6(c)</w:t>
            </w:r>
          </w:p>
        </w:tc>
        <w:tc>
          <w:tcPr>
            <w:tcW w:w="16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71,735</w:t>
            </w:r>
          </w:p>
        </w:tc>
        <w:tc>
          <w:tcPr>
            <w:tcW w:w="0" w:type="dxa"/>
            <w:vAlign w:val="bottom"/>
          </w:tcPr>
          <w:p>
            <w:pPr>
              <w:spacing w:after="0"/>
              <w:rPr>
                <w:sz w:val="1"/>
                <w:szCs w:val="1"/>
                <w:color w:val="auto"/>
              </w:rPr>
            </w:pPr>
          </w:p>
        </w:tc>
      </w:tr>
      <w:tr>
        <w:trPr>
          <w:trHeight w:val="39"/>
        </w:trPr>
        <w:tc>
          <w:tcPr>
            <w:tcW w:w="2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Amortization of intangible assets</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3,205</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11,915</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6(a)</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15,120</w:t>
            </w:r>
          </w:p>
        </w:tc>
        <w:tc>
          <w:tcPr>
            <w:tcW w:w="0" w:type="dxa"/>
            <w:vAlign w:val="bottom"/>
          </w:tcPr>
          <w:p>
            <w:pPr>
              <w:spacing w:after="0"/>
              <w:rPr>
                <w:sz w:val="1"/>
                <w:szCs w:val="1"/>
                <w:color w:val="auto"/>
              </w:rPr>
            </w:pPr>
          </w:p>
        </w:tc>
      </w:tr>
      <w:tr>
        <w:trPr>
          <w:trHeight w:val="156"/>
        </w:trPr>
        <w:tc>
          <w:tcPr>
            <w:tcW w:w="28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Restructuring</w:t>
            </w:r>
          </w:p>
        </w:tc>
        <w:tc>
          <w:tcPr>
            <w:tcW w:w="12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4,557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4,557</w:t>
            </w:r>
          </w:p>
        </w:tc>
        <w:tc>
          <w:tcPr>
            <w:tcW w:w="0" w:type="dxa"/>
            <w:vAlign w:val="bottom"/>
          </w:tcPr>
          <w:p>
            <w:pPr>
              <w:spacing w:after="0"/>
              <w:rPr>
                <w:sz w:val="1"/>
                <w:szCs w:val="1"/>
                <w:color w:val="auto"/>
              </w:rPr>
            </w:pPr>
          </w:p>
        </w:tc>
      </w:tr>
      <w:tr>
        <w:trPr>
          <w:trHeight w:val="39"/>
        </w:trPr>
        <w:tc>
          <w:tcPr>
            <w:tcW w:w="28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8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Total operating expenses</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114,481</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136,667</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36,828</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287,976</w:t>
            </w:r>
          </w:p>
        </w:tc>
        <w:tc>
          <w:tcPr>
            <w:tcW w:w="0" w:type="dxa"/>
            <w:vAlign w:val="bottom"/>
          </w:tcPr>
          <w:p>
            <w:pPr>
              <w:spacing w:after="0"/>
              <w:rPr>
                <w:sz w:val="1"/>
                <w:szCs w:val="1"/>
                <w:color w:val="auto"/>
              </w:rPr>
            </w:pPr>
          </w:p>
        </w:tc>
      </w:tr>
      <w:tr>
        <w:trPr>
          <w:trHeight w:val="148"/>
        </w:trPr>
        <w:tc>
          <w:tcPr>
            <w:tcW w:w="2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Loss from operations</w:t>
            </w: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(68,608)</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(43,393)</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(36,828)</w:t>
            </w: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(148,829)</w:t>
            </w:r>
          </w:p>
        </w:tc>
        <w:tc>
          <w:tcPr>
            <w:tcW w:w="0" w:type="dxa"/>
            <w:vAlign w:val="bottom"/>
          </w:tcPr>
          <w:p>
            <w:pPr>
              <w:spacing w:after="0"/>
              <w:rPr>
                <w:sz w:val="1"/>
                <w:szCs w:val="1"/>
                <w:color w:val="auto"/>
              </w:rPr>
            </w:pPr>
          </w:p>
        </w:tc>
      </w:tr>
      <w:tr>
        <w:trPr>
          <w:trHeight w:val="39"/>
        </w:trPr>
        <w:tc>
          <w:tcPr>
            <w:tcW w:w="28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2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9019"/>
          </w:cols>
          <w:pgMar w:left="1440" w:top="116" w:right="1440" w:bottom="0" w:gutter="0" w:footer="0" w:header="0"/>
        </w:sectPr>
      </w:pPr>
    </w:p>
    <w:p>
      <w:pPr>
        <w:ind w:left="80"/>
        <w:spacing w:after="0"/>
        <w:rPr>
          <w:sz w:val="20"/>
          <w:szCs w:val="20"/>
          <w:color w:val="auto"/>
        </w:rPr>
      </w:pPr>
      <w:r>
        <w:rPr>
          <w:rFonts w:ascii="Times New Roman" w:cs="Times New Roman" w:eastAsia="Times New Roman" w:hAnsi="Times New Roman"/>
          <w:sz w:val="11"/>
          <w:szCs w:val="11"/>
          <w:color w:val="auto"/>
        </w:rPr>
        <w:t>Other expense, net:</w:t>
      </w:r>
    </w:p>
    <w:p>
      <w:pPr>
        <w:spacing w:after="0" w:line="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Interest expense</w:t>
      </w:r>
    </w:p>
    <w:p>
      <w:pPr>
        <w:spacing w:after="0" w:line="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Other income (expense), net</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Total other expense, net</w:t>
      </w:r>
    </w:p>
    <w:p>
      <w:pPr>
        <w:spacing w:after="0" w:line="81" w:lineRule="exact"/>
        <w:rPr>
          <w:sz w:val="20"/>
          <w:szCs w:val="20"/>
          <w:color w:val="auto"/>
        </w:rPr>
      </w:pPr>
    </w:p>
    <w:p>
      <w:pPr>
        <w:ind w:left="80" w:right="1040"/>
        <w:spacing w:after="0" w:line="381" w:lineRule="auto"/>
        <w:rPr>
          <w:sz w:val="20"/>
          <w:szCs w:val="20"/>
          <w:color w:val="auto"/>
        </w:rPr>
      </w:pPr>
      <w:r>
        <w:rPr>
          <w:rFonts w:ascii="Times New Roman" w:cs="Times New Roman" w:eastAsia="Times New Roman" w:hAnsi="Times New Roman"/>
          <w:sz w:val="11"/>
          <w:szCs w:val="11"/>
          <w:color w:val="auto"/>
        </w:rPr>
        <w:t>Loss before provision for income taxes Provision for income taxes</w:t>
      </w:r>
    </w:p>
    <w:p>
      <w:pPr>
        <w:spacing w:after="0" w:line="1" w:lineRule="exact"/>
        <w:rPr>
          <w:sz w:val="20"/>
          <w:szCs w:val="20"/>
          <w:color w:val="auto"/>
        </w:rPr>
      </w:pPr>
    </w:p>
    <w:p>
      <w:pPr>
        <w:ind w:left="80"/>
        <w:spacing w:after="0"/>
        <w:tabs>
          <w:tab w:leader="none" w:pos="2820" w:val="left"/>
        </w:tabs>
        <w:rPr>
          <w:sz w:val="20"/>
          <w:szCs w:val="20"/>
          <w:color w:val="auto"/>
        </w:rPr>
      </w:pPr>
      <w:r>
        <w:rPr>
          <w:rFonts w:ascii="Times New Roman" w:cs="Times New Roman" w:eastAsia="Times New Roman" w:hAnsi="Times New Roman"/>
          <w:sz w:val="11"/>
          <w:szCs w:val="11"/>
          <w:color w:val="auto"/>
        </w:rPr>
        <w:t>Net loss</w:t>
      </w:r>
      <w:r>
        <w:rPr>
          <w:sz w:val="20"/>
          <w:szCs w:val="20"/>
          <w:color w:val="auto"/>
        </w:rPr>
        <w:tab/>
      </w:r>
      <w:r>
        <w:rPr>
          <w:rFonts w:ascii="Times New Roman" w:cs="Times New Roman" w:eastAsia="Times New Roman" w:hAnsi="Times New Roman"/>
          <w:sz w:val="11"/>
          <w:szCs w:val="11"/>
          <w:color w:val="auto"/>
        </w:rPr>
        <w:t>$</w:t>
      </w:r>
    </w:p>
    <w:p>
      <w:pPr>
        <w:spacing w:after="0" w:line="105" w:lineRule="exact"/>
        <w:rPr>
          <w:sz w:val="20"/>
          <w:szCs w:val="20"/>
          <w:color w:val="auto"/>
        </w:rPr>
      </w:pPr>
    </w:p>
    <w:p>
      <w:pPr>
        <w:ind w:left="180" w:right="180"/>
        <w:spacing w:after="0" w:line="294" w:lineRule="auto"/>
        <w:rPr>
          <w:sz w:val="20"/>
          <w:szCs w:val="20"/>
          <w:color w:val="auto"/>
        </w:rPr>
      </w:pPr>
      <w:r>
        <w:rPr>
          <w:rFonts w:ascii="Times New Roman" w:cs="Times New Roman" w:eastAsia="Times New Roman" w:hAnsi="Times New Roman"/>
          <w:sz w:val="11"/>
          <w:szCs w:val="11"/>
          <w:color w:val="auto"/>
        </w:rPr>
        <w:t>Cumulative dividends attributable to Series A Preferred Stock</w:t>
      </w:r>
    </w:p>
    <w:p>
      <w:pPr>
        <w:spacing w:after="0" w:line="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Net loss attributable to SoundHound common shareholders $</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5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95"/>
              </w:rPr>
              <w:t>(17,570)</w:t>
            </w:r>
          </w:p>
        </w:tc>
        <w:tc>
          <w:tcPr>
            <w:tcW w:w="340" w:type="dxa"/>
            <w:vAlign w:val="bottom"/>
          </w:tcPr>
          <w:p>
            <w:pPr>
              <w:spacing w:after="0"/>
              <w:rPr>
                <w:sz w:val="12"/>
                <w:szCs w:val="12"/>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(16,782)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6,579</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6(d)</w:t>
            </w:r>
          </w:p>
        </w:tc>
        <w:tc>
          <w:tcPr>
            <w:tcW w:w="280" w:type="dxa"/>
            <w:vAlign w:val="bottom"/>
          </w:tcPr>
          <w:p>
            <w:pPr>
              <w:spacing w:after="0"/>
              <w:rPr>
                <w:sz w:val="12"/>
                <w:szCs w:val="12"/>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(27,773)</w:t>
            </w:r>
          </w:p>
        </w:tc>
      </w:tr>
      <w:tr>
        <w:trPr>
          <w:trHeight w:val="195"/>
        </w:trPr>
        <w:tc>
          <w:tcPr>
            <w:tcW w:w="5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1,155</w:t>
            </w:r>
          </w:p>
        </w:tc>
        <w:tc>
          <w:tcPr>
            <w:tcW w:w="340" w:type="dxa"/>
            <w:vAlign w:val="bottom"/>
          </w:tcPr>
          <w:p>
            <w:pPr>
              <w:spacing w:after="0"/>
              <w:rPr>
                <w:sz w:val="16"/>
                <w:szCs w:val="16"/>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(5,759)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6"/>
                <w:szCs w:val="16"/>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(4,604)</w:t>
            </w:r>
          </w:p>
        </w:tc>
      </w:tr>
      <w:tr>
        <w:trPr>
          <w:trHeight w:val="39"/>
        </w:trPr>
        <w:tc>
          <w:tcPr>
            <w:tcW w:w="5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48"/>
        </w:trPr>
        <w:tc>
          <w:tcPr>
            <w:tcW w:w="5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95"/>
              </w:rPr>
              <w:t>(16,415)</w:t>
            </w:r>
          </w:p>
        </w:tc>
        <w:tc>
          <w:tcPr>
            <w:tcW w:w="340" w:type="dxa"/>
            <w:vAlign w:val="bottom"/>
          </w:tcPr>
          <w:p>
            <w:pPr>
              <w:spacing w:after="0"/>
              <w:rPr>
                <w:sz w:val="12"/>
                <w:szCs w:val="12"/>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(22,541)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6,579</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(32,377)</w:t>
            </w:r>
          </w:p>
        </w:tc>
      </w:tr>
      <w:tr>
        <w:trPr>
          <w:trHeight w:val="39"/>
        </w:trPr>
        <w:tc>
          <w:tcPr>
            <w:tcW w:w="5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48"/>
        </w:trPr>
        <w:tc>
          <w:tcPr>
            <w:tcW w:w="5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95"/>
              </w:rPr>
              <w:t>(85,023)</w:t>
            </w:r>
          </w:p>
        </w:tc>
        <w:tc>
          <w:tcPr>
            <w:tcW w:w="340" w:type="dxa"/>
            <w:vAlign w:val="bottom"/>
          </w:tcPr>
          <w:p>
            <w:pPr>
              <w:spacing w:after="0"/>
              <w:rPr>
                <w:sz w:val="12"/>
                <w:szCs w:val="12"/>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(65,934)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(30,249)</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(181,206)</w:t>
            </w:r>
          </w:p>
        </w:tc>
      </w:tr>
      <w:tr>
        <w:trPr>
          <w:trHeight w:val="195"/>
        </w:trPr>
        <w:tc>
          <w:tcPr>
            <w:tcW w:w="5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3,914</w:t>
            </w:r>
          </w:p>
        </w:tc>
        <w:tc>
          <w:tcPr>
            <w:tcW w:w="340" w:type="dxa"/>
            <w:vAlign w:val="bottom"/>
          </w:tcPr>
          <w:p>
            <w:pPr>
              <w:spacing w:after="0"/>
              <w:rPr>
                <w:sz w:val="16"/>
                <w:szCs w:val="16"/>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495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6"/>
                <w:szCs w:val="16"/>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4,409</w:t>
            </w:r>
          </w:p>
        </w:tc>
      </w:tr>
      <w:tr>
        <w:trPr>
          <w:trHeight w:val="39"/>
        </w:trPr>
        <w:tc>
          <w:tcPr>
            <w:tcW w:w="5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48"/>
        </w:trPr>
        <w:tc>
          <w:tcPr>
            <w:tcW w:w="5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95"/>
              </w:rPr>
              <w:t>(88,937)</w:t>
            </w:r>
          </w:p>
        </w:tc>
        <w:tc>
          <w:tcPr>
            <w:tcW w:w="34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(66,429)</w:t>
            </w:r>
          </w:p>
        </w:tc>
        <w:tc>
          <w:tcPr>
            <w:tcW w:w="100" w:type="dxa"/>
            <w:vAlign w:val="bottom"/>
          </w:tcPr>
          <w:p>
            <w:pPr>
              <w:spacing w:after="0"/>
              <w:rPr>
                <w:sz w:val="12"/>
                <w:szCs w:val="12"/>
                <w:color w:val="auto"/>
              </w:rPr>
            </w:pPr>
          </w:p>
        </w:tc>
        <w:tc>
          <w:tcPr>
            <w:tcW w:w="3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(30,249)</w:t>
            </w:r>
          </w:p>
        </w:tc>
        <w:tc>
          <w:tcPr>
            <w:tcW w:w="100" w:type="dxa"/>
            <w:vAlign w:val="bottom"/>
          </w:tcPr>
          <w:p>
            <w:pPr>
              <w:spacing w:after="0"/>
              <w:rPr>
                <w:sz w:val="12"/>
                <w:szCs w:val="12"/>
                <w:color w:val="auto"/>
              </w:rPr>
            </w:pPr>
          </w:p>
        </w:tc>
        <w:tc>
          <w:tcPr>
            <w:tcW w:w="40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12"/>
                <w:szCs w:val="12"/>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(185,615)</w:t>
            </w:r>
          </w:p>
        </w:tc>
      </w:tr>
      <w:tr>
        <w:trPr>
          <w:trHeight w:val="39"/>
        </w:trPr>
        <w:tc>
          <w:tcPr>
            <w:tcW w:w="5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0"/>
        </w:trPr>
        <w:tc>
          <w:tcPr>
            <w:tcW w:w="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45"/>
        </w:trPr>
        <w:tc>
          <w:tcPr>
            <w:tcW w:w="5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(2,774)</w:t>
            </w:r>
          </w:p>
        </w:tc>
        <w:tc>
          <w:tcPr>
            <w:tcW w:w="34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(2,774)</w:t>
            </w:r>
          </w:p>
        </w:tc>
      </w:tr>
      <w:tr>
        <w:trPr>
          <w:trHeight w:val="305"/>
        </w:trPr>
        <w:tc>
          <w:tcPr>
            <w:tcW w:w="5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95"/>
              </w:rPr>
              <w:t>(91,711)</w:t>
            </w:r>
          </w:p>
        </w:tc>
        <w:tc>
          <w:tcPr>
            <w:tcW w:w="34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(66,429)</w:t>
            </w:r>
          </w:p>
        </w:tc>
        <w:tc>
          <w:tcPr>
            <w:tcW w:w="100" w:type="dxa"/>
            <w:vAlign w:val="bottom"/>
          </w:tcPr>
          <w:p>
            <w:pPr>
              <w:spacing w:after="0"/>
              <w:rPr>
                <w:sz w:val="24"/>
                <w:szCs w:val="24"/>
                <w:color w:val="auto"/>
              </w:rPr>
            </w:pPr>
          </w:p>
        </w:tc>
        <w:tc>
          <w:tcPr>
            <w:tcW w:w="3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(30,249)</w:t>
            </w:r>
          </w:p>
        </w:tc>
        <w:tc>
          <w:tcPr>
            <w:tcW w:w="100" w:type="dxa"/>
            <w:vAlign w:val="bottom"/>
          </w:tcPr>
          <w:p>
            <w:pPr>
              <w:spacing w:after="0"/>
              <w:rPr>
                <w:sz w:val="24"/>
                <w:szCs w:val="24"/>
                <w:color w:val="auto"/>
              </w:rPr>
            </w:pPr>
          </w:p>
        </w:tc>
        <w:tc>
          <w:tcPr>
            <w:tcW w:w="40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24"/>
                <w:szCs w:val="24"/>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(188,389)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-2117725</wp:posOffset>
            </wp:positionH>
            <wp:positionV relativeFrom="paragraph">
              <wp:posOffset>-1089025</wp:posOffset>
            </wp:positionV>
            <wp:extent cx="5690235" cy="1238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90235" cy="123825"/>
                    </a:xfrm>
                    <a:prstGeom prst="rect">
                      <a:avLst/>
                    </a:prstGeom>
                    <a:noFill/>
                  </pic:spPr>
                </pic:pic>
              </a:graphicData>
            </a:graphic>
          </wp:anchor>
        </w:drawing>
        <w:drawing>
          <wp:anchor simplePos="0" relativeHeight="251657728" behindDoc="1" locked="0" layoutInCell="0" allowOverlap="1">
            <wp:simplePos x="0" y="0"/>
            <wp:positionH relativeFrom="column">
              <wp:posOffset>-2117725</wp:posOffset>
            </wp:positionH>
            <wp:positionV relativeFrom="paragraph">
              <wp:posOffset>-578485</wp:posOffset>
            </wp:positionV>
            <wp:extent cx="5690235" cy="4800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90235" cy="480060"/>
                    </a:xfrm>
                    <a:prstGeom prst="rect">
                      <a:avLst/>
                    </a:prstGeom>
                    <a:noFill/>
                  </pic:spPr>
                </pic:pic>
              </a:graphicData>
            </a:graphic>
          </wp:anchor>
        </w:drawing>
        <w:drawing>
          <wp:anchor simplePos="0" relativeHeight="251657728" behindDoc="1" locked="0" layoutInCell="0" allowOverlap="1">
            <wp:simplePos x="0" y="0"/>
            <wp:positionH relativeFrom="column">
              <wp:posOffset>-2117725</wp:posOffset>
            </wp:positionH>
            <wp:positionV relativeFrom="paragraph">
              <wp:posOffset>-841375</wp:posOffset>
            </wp:positionV>
            <wp:extent cx="5690235" cy="139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90235" cy="139065"/>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2900" w:space="460"/>
            <w:col w:w="5659"/>
          </w:cols>
          <w:pgMar w:left="1440" w:top="116" w:right="1440" w:bottom="0" w:gutter="0" w:footer="0" w:header="0"/>
          <w:type w:val="continuous"/>
        </w:sectPr>
      </w:pPr>
    </w:p>
    <w:tbl>
      <w:tblPr>
        <w:tblLayout w:type="fixed"/>
        <w:tblInd w:w="20" w:type="dxa"/>
        <w:tblCellMar>
          <w:top w:w="0" w:type="dxa"/>
          <w:left w:w="0" w:type="dxa"/>
          <w:bottom w:w="0" w:type="dxa"/>
          <w:right w:w="0" w:type="dxa"/>
        </w:tblCellMar>
      </w:tblPr>
      <w:tr>
        <w:trPr>
          <w:trHeight w:val="40"/>
        </w:trPr>
        <w:tc>
          <w:tcPr>
            <w:tcW w:w="2800" w:type="dxa"/>
            <w:vAlign w:val="bottom"/>
            <w:tcBorders>
              <w:bottom w:val="single" w:sz="8" w:color="CCEEFF"/>
            </w:tcBorders>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8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r>
      <w:tr>
        <w:trPr>
          <w:trHeight w:val="111"/>
        </w:trPr>
        <w:tc>
          <w:tcPr>
            <w:tcW w:w="2800" w:type="dxa"/>
            <w:vAlign w:val="bottom"/>
            <w:shd w:val="clear" w:color="auto" w:fill="CCEEFF"/>
          </w:tcPr>
          <w:p>
            <w:pPr>
              <w:ind w:left="60"/>
              <w:spacing w:after="0" w:line="111" w:lineRule="exact"/>
              <w:rPr>
                <w:sz w:val="20"/>
                <w:szCs w:val="20"/>
                <w:color w:val="auto"/>
              </w:rPr>
            </w:pPr>
            <w:r>
              <w:rPr>
                <w:rFonts w:ascii="Times New Roman" w:cs="Times New Roman" w:eastAsia="Times New Roman" w:hAnsi="Times New Roman"/>
                <w:sz w:val="11"/>
                <w:szCs w:val="11"/>
                <w:color w:val="auto"/>
              </w:rPr>
              <w:t>Weighted-average common shares outstanding (basic &amp;</w:t>
            </w:r>
          </w:p>
        </w:tc>
        <w:tc>
          <w:tcPr>
            <w:tcW w:w="22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3"/>
              <w:spacing w:after="0" w:line="111" w:lineRule="exact"/>
              <w:rPr>
                <w:sz w:val="20"/>
                <w:szCs w:val="20"/>
                <w:color w:val="auto"/>
              </w:rPr>
            </w:pPr>
            <w:r>
              <w:rPr>
                <w:rFonts w:ascii="Times New Roman" w:cs="Times New Roman" w:eastAsia="Times New Roman" w:hAnsi="Times New Roman"/>
                <w:sz w:val="11"/>
                <w:szCs w:val="11"/>
                <w:color w:val="auto"/>
              </w:rPr>
              <w:t>229,264,904</w:t>
            </w:r>
          </w:p>
        </w:tc>
        <w:tc>
          <w:tcPr>
            <w:tcW w:w="1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920" w:type="dxa"/>
            <w:vAlign w:val="bottom"/>
            <w:shd w:val="clear" w:color="auto" w:fill="CCEEFF"/>
          </w:tcPr>
          <w:p>
            <w:pPr>
              <w:ind w:left="360"/>
              <w:spacing w:after="0" w:line="111" w:lineRule="exact"/>
              <w:rPr>
                <w:sz w:val="20"/>
                <w:szCs w:val="20"/>
                <w:color w:val="auto"/>
              </w:rPr>
            </w:pPr>
            <w:r>
              <w:rPr>
                <w:rFonts w:ascii="Times New Roman" w:cs="Times New Roman" w:eastAsia="Times New Roman" w:hAnsi="Times New Roman"/>
                <w:sz w:val="11"/>
                <w:szCs w:val="11"/>
                <w:color w:val="auto"/>
              </w:rPr>
              <w:t>6(e)</w:t>
            </w:r>
          </w:p>
        </w:tc>
        <w:tc>
          <w:tcPr>
            <w:tcW w:w="22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3"/>
              <w:spacing w:after="0" w:line="111" w:lineRule="exact"/>
              <w:rPr>
                <w:sz w:val="20"/>
                <w:szCs w:val="20"/>
                <w:color w:val="auto"/>
              </w:rPr>
            </w:pPr>
            <w:r>
              <w:rPr>
                <w:rFonts w:ascii="Times New Roman" w:cs="Times New Roman" w:eastAsia="Times New Roman" w:hAnsi="Times New Roman"/>
                <w:sz w:val="11"/>
                <w:szCs w:val="11"/>
                <w:color w:val="auto"/>
              </w:rPr>
              <w:t>236,018,341</w:t>
            </w:r>
          </w:p>
        </w:tc>
      </w:tr>
      <w:tr>
        <w:trPr>
          <w:trHeight w:val="183"/>
        </w:trPr>
        <w:tc>
          <w:tcPr>
            <w:tcW w:w="28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diluted)</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148"/>
        </w:trPr>
        <w:tc>
          <w:tcPr>
            <w:tcW w:w="2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Net Loss per share (basic &amp; diluted)</w:t>
            </w:r>
          </w:p>
        </w:tc>
        <w:tc>
          <w:tcPr>
            <w:tcW w:w="22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(0.40)</w:t>
            </w:r>
          </w:p>
        </w:tc>
        <w:tc>
          <w:tcPr>
            <w:tcW w:w="4200" w:type="dxa"/>
            <w:vAlign w:val="bottom"/>
            <w:gridSpan w:val="7"/>
          </w:tcPr>
          <w:p>
            <w:pPr>
              <w:spacing w:after="0"/>
              <w:rPr>
                <w:sz w:val="12"/>
                <w:szCs w:val="12"/>
                <w:color w:val="auto"/>
              </w:rPr>
            </w:pPr>
          </w:p>
        </w:tc>
        <w:tc>
          <w:tcPr>
            <w:tcW w:w="22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(0.80)</w:t>
            </w:r>
          </w:p>
        </w:tc>
      </w:tr>
      <w:tr>
        <w:trPr>
          <w:trHeight w:val="39"/>
        </w:trPr>
        <w:tc>
          <w:tcPr>
            <w:tcW w:w="28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See Notes to the Unaudited Pro Forma Condensed Combined Financial Statements.</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SOUNDHOUND AI,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Unaudited Pro Forma Condensed Combined Statement of Operations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the Six Months Ended June 30, 2024</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4"/>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Transaction Accounting Adjustments</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Amelia Holdings</w:t>
            </w: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9"/>
        </w:trPr>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Historical – After</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Reclassification</w:t>
            </w:r>
          </w:p>
        </w:tc>
        <w:tc>
          <w:tcPr>
            <w:tcW w:w="160" w:type="dxa"/>
            <w:vAlign w:val="bottom"/>
          </w:tcPr>
          <w:p>
            <w:pPr>
              <w:spacing w:after="0"/>
              <w:rPr>
                <w:sz w:val="11"/>
                <w:szCs w:val="11"/>
                <w:color w:val="auto"/>
              </w:rPr>
            </w:pPr>
          </w:p>
        </w:tc>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Amelia</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Note</w:t>
            </w:r>
          </w:p>
        </w:tc>
        <w:tc>
          <w:tcPr>
            <w:tcW w:w="820" w:type="dxa"/>
            <w:vAlign w:val="bottom"/>
            <w:vMerge w:val="restart"/>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34"/>
        </w:trPr>
        <w:tc>
          <w:tcPr>
            <w:tcW w:w="2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SoundHound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Adjustments (Note</w:t>
            </w: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6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Debt Paydown</w:t>
            </w:r>
          </w:p>
        </w:tc>
        <w:tc>
          <w:tcPr>
            <w:tcW w:w="10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w w:val="86"/>
              </w:rPr>
              <w:t>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Acquisition</w:t>
            </w: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820" w:type="dxa"/>
            <w:vAlign w:val="bottom"/>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Combined</w:t>
            </w:r>
          </w:p>
        </w:tc>
        <w:tc>
          <w:tcPr>
            <w:tcW w:w="0" w:type="dxa"/>
            <w:vAlign w:val="bottom"/>
          </w:tcPr>
          <w:p>
            <w:pPr>
              <w:spacing w:after="0"/>
              <w:rPr>
                <w:sz w:val="1"/>
                <w:szCs w:val="1"/>
                <w:color w:val="auto"/>
              </w:rPr>
            </w:pPr>
          </w:p>
        </w:tc>
      </w:tr>
      <w:tr>
        <w:trPr>
          <w:trHeight w:val="134"/>
        </w:trPr>
        <w:tc>
          <w:tcPr>
            <w:tcW w:w="28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Revenues</w:t>
            </w:r>
          </w:p>
        </w:tc>
        <w:tc>
          <w:tcPr>
            <w:tcW w:w="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25,056</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45,332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70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70,388</w:t>
            </w:r>
          </w:p>
        </w:tc>
        <w:tc>
          <w:tcPr>
            <w:tcW w:w="0" w:type="dxa"/>
            <w:vAlign w:val="bottom"/>
          </w:tcPr>
          <w:p>
            <w:pPr>
              <w:spacing w:after="0"/>
              <w:rPr>
                <w:sz w:val="1"/>
                <w:szCs w:val="1"/>
                <w:color w:val="auto"/>
              </w:rPr>
            </w:pPr>
          </w:p>
        </w:tc>
      </w:tr>
      <w:tr>
        <w:trPr>
          <w:trHeight w:val="136"/>
        </w:trPr>
        <w:tc>
          <w:tcPr>
            <w:tcW w:w="28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Operating expenses:</w:t>
            </w: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2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Cost of revenues</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9,649</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29,404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5,490</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3"/>
            <w:shd w:val="clear" w:color="auto" w:fill="CCEEFF"/>
          </w:tcPr>
          <w:p>
            <w:pPr>
              <w:jc w:val="center"/>
              <w:ind w:right="260"/>
              <w:spacing w:after="0"/>
              <w:rPr>
                <w:sz w:val="20"/>
                <w:szCs w:val="20"/>
                <w:color w:val="auto"/>
              </w:rPr>
            </w:pPr>
            <w:r>
              <w:rPr>
                <w:rFonts w:ascii="Times New Roman" w:cs="Times New Roman" w:eastAsia="Times New Roman" w:hAnsi="Times New Roman"/>
                <w:sz w:val="11"/>
                <w:szCs w:val="11"/>
                <w:color w:val="auto"/>
                <w:w w:val="96"/>
              </w:rPr>
              <w:t>6(f)</w:t>
            </w: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44,543</w:t>
            </w:r>
          </w:p>
        </w:tc>
        <w:tc>
          <w:tcPr>
            <w:tcW w:w="0" w:type="dxa"/>
            <w:vAlign w:val="bottom"/>
          </w:tcPr>
          <w:p>
            <w:pPr>
              <w:spacing w:after="0"/>
              <w:rPr>
                <w:sz w:val="1"/>
                <w:szCs w:val="1"/>
                <w:color w:val="auto"/>
              </w:rPr>
            </w:pPr>
          </w:p>
        </w:tc>
      </w:tr>
      <w:tr>
        <w:trPr>
          <w:trHeight w:val="156"/>
        </w:trPr>
        <w:tc>
          <w:tcPr>
            <w:tcW w:w="28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Sales and marketing</w:t>
            </w:r>
          </w:p>
        </w:tc>
        <w:tc>
          <w:tcPr>
            <w:tcW w:w="120" w:type="dxa"/>
            <w:vAlign w:val="bottom"/>
          </w:tcPr>
          <w:p>
            <w:pPr>
              <w:spacing w:after="0"/>
              <w:rPr>
                <w:sz w:val="13"/>
                <w:szCs w:val="13"/>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11,197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11,587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(479)</w:t>
            </w:r>
          </w:p>
        </w:tc>
        <w:tc>
          <w:tcPr>
            <w:tcW w:w="12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color w:val="auto"/>
              </w:rPr>
              <w:t>6(g)</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22,305</w:t>
            </w:r>
          </w:p>
        </w:tc>
        <w:tc>
          <w:tcPr>
            <w:tcW w:w="0" w:type="dxa"/>
            <w:vAlign w:val="bottom"/>
          </w:tcPr>
          <w:p>
            <w:pPr>
              <w:spacing w:after="0"/>
              <w:rPr>
                <w:sz w:val="1"/>
                <w:szCs w:val="1"/>
                <w:color w:val="auto"/>
              </w:rPr>
            </w:pPr>
          </w:p>
        </w:tc>
      </w:tr>
      <w:tr>
        <w:trPr>
          <w:trHeight w:val="39"/>
        </w:trPr>
        <w:tc>
          <w:tcPr>
            <w:tcW w:w="2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Research and development</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30,616</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5,893</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36,509</w:t>
            </w:r>
          </w:p>
        </w:tc>
        <w:tc>
          <w:tcPr>
            <w:tcW w:w="0" w:type="dxa"/>
            <w:vAlign w:val="bottom"/>
          </w:tcPr>
          <w:p>
            <w:pPr>
              <w:spacing w:after="0"/>
              <w:rPr>
                <w:sz w:val="1"/>
                <w:szCs w:val="1"/>
                <w:color w:val="auto"/>
              </w:rPr>
            </w:pPr>
          </w:p>
        </w:tc>
      </w:tr>
      <w:tr>
        <w:trPr>
          <w:trHeight w:val="156"/>
        </w:trPr>
        <w:tc>
          <w:tcPr>
            <w:tcW w:w="28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120" w:type="dxa"/>
            <w:vAlign w:val="bottom"/>
          </w:tcPr>
          <w:p>
            <w:pPr>
              <w:spacing w:after="0"/>
              <w:rPr>
                <w:sz w:val="13"/>
                <w:szCs w:val="13"/>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19,802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12,414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32,216</w:t>
            </w:r>
          </w:p>
        </w:tc>
        <w:tc>
          <w:tcPr>
            <w:tcW w:w="0" w:type="dxa"/>
            <w:vAlign w:val="bottom"/>
          </w:tcPr>
          <w:p>
            <w:pPr>
              <w:spacing w:after="0"/>
              <w:rPr>
                <w:sz w:val="1"/>
                <w:szCs w:val="1"/>
                <w:color w:val="auto"/>
              </w:rPr>
            </w:pPr>
          </w:p>
        </w:tc>
      </w:tr>
      <w:tr>
        <w:trPr>
          <w:trHeight w:val="39"/>
        </w:trPr>
        <w:tc>
          <w:tcPr>
            <w:tcW w:w="2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Change in fair value of contingent acquisition liabilities</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3,080</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3,080</w:t>
            </w:r>
          </w:p>
        </w:tc>
        <w:tc>
          <w:tcPr>
            <w:tcW w:w="0" w:type="dxa"/>
            <w:vAlign w:val="bottom"/>
          </w:tcPr>
          <w:p>
            <w:pPr>
              <w:spacing w:after="0"/>
              <w:rPr>
                <w:sz w:val="1"/>
                <w:szCs w:val="1"/>
                <w:color w:val="auto"/>
              </w:rPr>
            </w:pPr>
          </w:p>
        </w:tc>
      </w:tr>
      <w:tr>
        <w:trPr>
          <w:trHeight w:val="156"/>
        </w:trPr>
        <w:tc>
          <w:tcPr>
            <w:tcW w:w="28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Amortization of intangible assets</w:t>
            </w:r>
          </w:p>
        </w:tc>
        <w:tc>
          <w:tcPr>
            <w:tcW w:w="120" w:type="dxa"/>
            <w:vAlign w:val="bottom"/>
          </w:tcPr>
          <w:p>
            <w:pPr>
              <w:spacing w:after="0"/>
              <w:rPr>
                <w:sz w:val="13"/>
                <w:szCs w:val="13"/>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1,226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1,601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5,959</w:t>
            </w:r>
          </w:p>
        </w:tc>
        <w:tc>
          <w:tcPr>
            <w:tcW w:w="12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color w:val="auto"/>
                <w:w w:val="96"/>
              </w:rPr>
              <w:t>6(f)</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8,786</w:t>
            </w:r>
          </w:p>
        </w:tc>
        <w:tc>
          <w:tcPr>
            <w:tcW w:w="0" w:type="dxa"/>
            <w:vAlign w:val="bottom"/>
          </w:tcPr>
          <w:p>
            <w:pPr>
              <w:spacing w:after="0"/>
              <w:rPr>
                <w:sz w:val="1"/>
                <w:szCs w:val="1"/>
                <w:color w:val="auto"/>
              </w:rPr>
            </w:pPr>
          </w:p>
        </w:tc>
      </w:tr>
      <w:tr>
        <w:trPr>
          <w:trHeight w:val="39"/>
        </w:trPr>
        <w:tc>
          <w:tcPr>
            <w:tcW w:w="28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Total operating expenses</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75,570</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60,899</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10,970</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147,439</w:t>
            </w:r>
          </w:p>
        </w:tc>
        <w:tc>
          <w:tcPr>
            <w:tcW w:w="0" w:type="dxa"/>
            <w:vAlign w:val="bottom"/>
          </w:tcPr>
          <w:p>
            <w:pPr>
              <w:spacing w:after="0"/>
              <w:rPr>
                <w:sz w:val="1"/>
                <w:szCs w:val="1"/>
                <w:color w:val="auto"/>
              </w:rPr>
            </w:pPr>
          </w:p>
        </w:tc>
      </w:tr>
      <w:tr>
        <w:trPr>
          <w:trHeight w:val="148"/>
        </w:trPr>
        <w:tc>
          <w:tcPr>
            <w:tcW w:w="28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Loss from operations</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(50,514)</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(15,567)</w:t>
            </w: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(10,970)</w:t>
            </w: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(77,051)</w:t>
            </w:r>
          </w:p>
        </w:tc>
        <w:tc>
          <w:tcPr>
            <w:tcW w:w="0" w:type="dxa"/>
            <w:vAlign w:val="bottom"/>
          </w:tcPr>
          <w:p>
            <w:pPr>
              <w:spacing w:after="0"/>
              <w:rPr>
                <w:sz w:val="1"/>
                <w:szCs w:val="1"/>
                <w:color w:val="auto"/>
              </w:rPr>
            </w:pPr>
          </w:p>
        </w:tc>
      </w:tr>
      <w:tr>
        <w:trPr>
          <w:trHeight w:val="39"/>
        </w:trPr>
        <w:tc>
          <w:tcPr>
            <w:tcW w:w="28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2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8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Other expense, net:</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Loss on early extinguishment of debt</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(15,587)</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(15,587)</w:t>
            </w:r>
          </w:p>
        </w:tc>
        <w:tc>
          <w:tcPr>
            <w:tcW w:w="0" w:type="dxa"/>
            <w:vAlign w:val="bottom"/>
          </w:tcPr>
          <w:p>
            <w:pPr>
              <w:spacing w:after="0"/>
              <w:rPr>
                <w:sz w:val="1"/>
                <w:szCs w:val="1"/>
                <w:color w:val="auto"/>
              </w:rPr>
            </w:pPr>
          </w:p>
        </w:tc>
      </w:tr>
      <w:tr>
        <w:trPr>
          <w:trHeight w:val="156"/>
        </w:trPr>
        <w:tc>
          <w:tcPr>
            <w:tcW w:w="28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Interest expense</w:t>
            </w:r>
          </w:p>
        </w:tc>
        <w:tc>
          <w:tcPr>
            <w:tcW w:w="120" w:type="dxa"/>
            <w:vAlign w:val="bottom"/>
          </w:tcPr>
          <w:p>
            <w:pPr>
              <w:spacing w:after="0"/>
              <w:rPr>
                <w:sz w:val="13"/>
                <w:szCs w:val="13"/>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(9,750)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(10,644)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4,740</w:t>
            </w:r>
          </w:p>
        </w:tc>
        <w:tc>
          <w:tcPr>
            <w:tcW w:w="12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color w:val="auto"/>
              </w:rPr>
              <w:t>6(h)</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(15,654)</w:t>
            </w:r>
          </w:p>
        </w:tc>
        <w:tc>
          <w:tcPr>
            <w:tcW w:w="0" w:type="dxa"/>
            <w:vAlign w:val="bottom"/>
          </w:tcPr>
          <w:p>
            <w:pPr>
              <w:spacing w:after="0"/>
              <w:rPr>
                <w:sz w:val="1"/>
                <w:szCs w:val="1"/>
                <w:color w:val="auto"/>
              </w:rPr>
            </w:pPr>
          </w:p>
        </w:tc>
      </w:tr>
      <w:tr>
        <w:trPr>
          <w:trHeight w:val="39"/>
        </w:trPr>
        <w:tc>
          <w:tcPr>
            <w:tcW w:w="2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2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Other income (expense), net</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6,453</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6,828</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13,281</w:t>
            </w:r>
          </w:p>
        </w:tc>
        <w:tc>
          <w:tcPr>
            <w:tcW w:w="0" w:type="dxa"/>
            <w:vAlign w:val="bottom"/>
          </w:tcPr>
          <w:p>
            <w:pPr>
              <w:spacing w:after="0"/>
              <w:rPr>
                <w:sz w:val="1"/>
                <w:szCs w:val="1"/>
                <w:color w:val="auto"/>
              </w:rPr>
            </w:pPr>
          </w:p>
        </w:tc>
      </w:tr>
      <w:tr>
        <w:trPr>
          <w:trHeight w:val="148"/>
        </w:trPr>
        <w:tc>
          <w:tcPr>
            <w:tcW w:w="28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Total other expense, net</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(18,884)</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(3,816)</w:t>
            </w: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4,740</w:t>
            </w:r>
          </w:p>
        </w:tc>
        <w:tc>
          <w:tcPr>
            <w:tcW w:w="120" w:type="dxa"/>
            <w:vAlign w:val="bottom"/>
          </w:tcPr>
          <w:p>
            <w:pPr>
              <w:spacing w:after="0"/>
              <w:rPr>
                <w:sz w:val="12"/>
                <w:szCs w:val="12"/>
                <w:color w:val="auto"/>
              </w:rPr>
            </w:pPr>
          </w:p>
        </w:tc>
        <w:tc>
          <w:tcPr>
            <w:tcW w:w="8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(17,960)</w:t>
            </w:r>
          </w:p>
        </w:tc>
        <w:tc>
          <w:tcPr>
            <w:tcW w:w="0" w:type="dxa"/>
            <w:vAlign w:val="bottom"/>
          </w:tcPr>
          <w:p>
            <w:pPr>
              <w:spacing w:after="0"/>
              <w:rPr>
                <w:sz w:val="1"/>
                <w:szCs w:val="1"/>
                <w:color w:val="auto"/>
              </w:rPr>
            </w:pPr>
          </w:p>
        </w:tc>
      </w:tr>
      <w:tr>
        <w:trPr>
          <w:trHeight w:val="39"/>
        </w:trPr>
        <w:tc>
          <w:tcPr>
            <w:tcW w:w="28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Loss before provision for income taxes</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(69,398)</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(19,383)</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(6,230)</w:t>
            </w:r>
          </w:p>
        </w:tc>
        <w:tc>
          <w:tcPr>
            <w:tcW w:w="1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(95,011)</w:t>
            </w:r>
          </w:p>
        </w:tc>
        <w:tc>
          <w:tcPr>
            <w:tcW w:w="0" w:type="dxa"/>
            <w:vAlign w:val="bottom"/>
          </w:tcPr>
          <w:p>
            <w:pPr>
              <w:spacing w:after="0"/>
              <w:rPr>
                <w:sz w:val="1"/>
                <w:szCs w:val="1"/>
                <w:color w:val="auto"/>
              </w:rPr>
            </w:pPr>
          </w:p>
        </w:tc>
      </w:tr>
      <w:tr>
        <w:trPr>
          <w:trHeight w:val="156"/>
        </w:trPr>
        <w:tc>
          <w:tcPr>
            <w:tcW w:w="28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Provision for income taxes</w:t>
            </w:r>
          </w:p>
        </w:tc>
        <w:tc>
          <w:tcPr>
            <w:tcW w:w="120" w:type="dxa"/>
            <w:vAlign w:val="bottom"/>
          </w:tcPr>
          <w:p>
            <w:pPr>
              <w:spacing w:after="0"/>
              <w:rPr>
                <w:sz w:val="13"/>
                <w:szCs w:val="13"/>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933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1,056</w:t>
            </w:r>
          </w:p>
        </w:tc>
        <w:tc>
          <w:tcPr>
            <w:tcW w:w="0" w:type="dxa"/>
            <w:vAlign w:val="bottom"/>
          </w:tcPr>
          <w:p>
            <w:pPr>
              <w:spacing w:after="0"/>
              <w:rPr>
                <w:sz w:val="1"/>
                <w:szCs w:val="1"/>
                <w:color w:val="auto"/>
              </w:rPr>
            </w:pPr>
          </w:p>
        </w:tc>
      </w:tr>
      <w:tr>
        <w:trPr>
          <w:trHeight w:val="39"/>
        </w:trPr>
        <w:tc>
          <w:tcPr>
            <w:tcW w:w="28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2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loss</w:t>
            </w:r>
          </w:p>
        </w:tc>
        <w:tc>
          <w:tcPr>
            <w:tcW w:w="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(70,331)</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(19,506)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(6,230)</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70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(96,067)</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1"/>
                <w:szCs w:val="11"/>
                <w:color w:val="auto"/>
              </w:rPr>
              <w:t>Cumulative dividends attributable to Series A Preferred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jc w:val="right"/>
              <w:ind w:right="23"/>
              <w:spacing w:after="0" w:line="100" w:lineRule="exact"/>
              <w:rPr>
                <w:sz w:val="20"/>
                <w:szCs w:val="20"/>
                <w:color w:val="auto"/>
              </w:rPr>
            </w:pPr>
            <w:r>
              <w:rPr>
                <w:rFonts w:ascii="Times New Roman" w:cs="Times New Roman" w:eastAsia="Times New Roman" w:hAnsi="Times New Roman"/>
                <w:sz w:val="11"/>
                <w:szCs w:val="11"/>
                <w:color w:val="auto"/>
              </w:rPr>
              <w:t>(416)</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2"/>
          </w:tcPr>
          <w:p>
            <w:pPr>
              <w:jc w:val="right"/>
              <w:ind w:right="180"/>
              <w:spacing w:after="0" w:line="10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920" w:type="dxa"/>
            <w:vAlign w:val="bottom"/>
            <w:gridSpan w:val="2"/>
          </w:tcPr>
          <w:p>
            <w:pPr>
              <w:jc w:val="right"/>
              <w:ind w:right="180"/>
              <w:spacing w:after="0" w:line="100"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3"/>
              <w:spacing w:after="0" w:line="100"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jc w:val="right"/>
              <w:ind w:right="3"/>
              <w:spacing w:after="0" w:line="100" w:lineRule="exact"/>
              <w:rPr>
                <w:sz w:val="20"/>
                <w:szCs w:val="20"/>
                <w:color w:val="auto"/>
              </w:rPr>
            </w:pPr>
            <w:r>
              <w:rPr>
                <w:rFonts w:ascii="Times New Roman" w:cs="Times New Roman" w:eastAsia="Times New Roman" w:hAnsi="Times New Roman"/>
                <w:sz w:val="11"/>
                <w:szCs w:val="11"/>
                <w:color w:val="auto"/>
              </w:rPr>
              <w:t>(416)</w:t>
            </w:r>
          </w:p>
        </w:tc>
        <w:tc>
          <w:tcPr>
            <w:tcW w:w="0" w:type="dxa"/>
            <w:vAlign w:val="bottom"/>
          </w:tcPr>
          <w:p>
            <w:pPr>
              <w:spacing w:after="0"/>
              <w:rPr>
                <w:sz w:val="1"/>
                <w:szCs w:val="1"/>
                <w:color w:val="auto"/>
              </w:rPr>
            </w:pPr>
          </w:p>
        </w:tc>
      </w:tr>
      <w:tr>
        <w:trPr>
          <w:trHeight w:val="147"/>
        </w:trPr>
        <w:tc>
          <w:tcPr>
            <w:tcW w:w="28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Stock</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loss attributable to SoundHound common shareholders</w:t>
            </w:r>
          </w:p>
        </w:tc>
        <w:tc>
          <w:tcPr>
            <w:tcW w:w="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(70,747)</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(19,506)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(6,230)</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70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(96,483)</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1"/>
                <w:szCs w:val="11"/>
                <w:color w:val="auto"/>
              </w:rPr>
              <w:t>Weighted-average common shares outstanding (basic &amp;</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880" w:type="dxa"/>
            <w:vAlign w:val="bottom"/>
            <w:tcBorders>
              <w:top w:val="single" w:sz="8" w:color="CCEEFF"/>
              <w:bottom w:val="single" w:sz="8" w:color="CCEEFF"/>
            </w:tcBorders>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color w:val="auto"/>
              </w:rPr>
              <w:t>6(i)</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jc w:val="right"/>
              <w:ind w:right="23"/>
              <w:spacing w:after="0" w:line="100" w:lineRule="exact"/>
              <w:rPr>
                <w:sz w:val="20"/>
                <w:szCs w:val="20"/>
                <w:color w:val="auto"/>
              </w:rPr>
            </w:pPr>
            <w:r>
              <w:rPr>
                <w:rFonts w:ascii="Times New Roman" w:cs="Times New Roman" w:eastAsia="Times New Roman" w:hAnsi="Times New Roman"/>
                <w:sz w:val="11"/>
                <w:szCs w:val="11"/>
                <w:color w:val="auto"/>
              </w:rPr>
              <w:t>309,213,583</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jc w:val="right"/>
              <w:ind w:right="3"/>
              <w:spacing w:after="0" w:line="100" w:lineRule="exact"/>
              <w:rPr>
                <w:sz w:val="20"/>
                <w:szCs w:val="20"/>
                <w:color w:val="auto"/>
              </w:rPr>
            </w:pPr>
            <w:r>
              <w:rPr>
                <w:rFonts w:ascii="Times New Roman" w:cs="Times New Roman" w:eastAsia="Times New Roman" w:hAnsi="Times New Roman"/>
                <w:sz w:val="11"/>
                <w:szCs w:val="11"/>
                <w:color w:val="auto"/>
              </w:rPr>
              <w:t>315,967,020</w:t>
            </w:r>
          </w:p>
        </w:tc>
        <w:tc>
          <w:tcPr>
            <w:tcW w:w="0" w:type="dxa"/>
            <w:vAlign w:val="bottom"/>
          </w:tcPr>
          <w:p>
            <w:pPr>
              <w:spacing w:after="0"/>
              <w:rPr>
                <w:sz w:val="1"/>
                <w:szCs w:val="1"/>
                <w:color w:val="auto"/>
              </w:rPr>
            </w:pPr>
          </w:p>
        </w:tc>
      </w:tr>
      <w:tr>
        <w:trPr>
          <w:trHeight w:val="147"/>
        </w:trPr>
        <w:tc>
          <w:tcPr>
            <w:tcW w:w="28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diluted)</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Net loss per share (basic &amp; diluted)</w:t>
            </w:r>
          </w:p>
        </w:tc>
        <w:tc>
          <w:tcPr>
            <w:tcW w:w="1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(0.23)</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(0.31)</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i w:val="1"/>
          <w:iCs w:val="1"/>
          <w:color w:val="auto"/>
        </w:rPr>
        <w:t>See Notes to the Unaudited Pro Forma Condensed Combined Financial Statements.</w:t>
      </w:r>
    </w:p>
    <w:p>
      <w:pPr>
        <w:sectPr>
          <w:pgSz w:w="11900" w:h="16838" w:orient="portrait"/>
          <w:cols w:equalWidth="0" w:num="1">
            <w:col w:w="9019"/>
          </w:cols>
          <w:pgMar w:left="1440" w:top="116" w:right="1440" w:bottom="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jc w:val="center"/>
        <w:ind w:left="760" w:right="779"/>
        <w:spacing w:after="0" w:line="292" w:lineRule="auto"/>
        <w:rPr>
          <w:sz w:val="20"/>
          <w:szCs w:val="20"/>
          <w:color w:val="auto"/>
        </w:rPr>
      </w:pPr>
      <w:r>
        <w:rPr>
          <w:rFonts w:ascii="Times New Roman" w:cs="Times New Roman" w:eastAsia="Times New Roman" w:hAnsi="Times New Roman"/>
          <w:sz w:val="16"/>
          <w:szCs w:val="16"/>
          <w:b w:val="1"/>
          <w:bCs w:val="1"/>
          <w:color w:val="auto"/>
        </w:rPr>
        <w:t xml:space="preserve">NOTES TO THE UNAUDITED PRO FORMA CONDENSED COMBINED FINANCIAL INFORMATION </w:t>
      </w:r>
      <w:r>
        <w:rPr>
          <w:rFonts w:ascii="Times New Roman" w:cs="Times New Roman" w:eastAsia="Times New Roman" w:hAnsi="Times New Roman"/>
          <w:sz w:val="16"/>
          <w:szCs w:val="16"/>
          <w:b w:val="1"/>
          <w:bCs w:val="1"/>
          <w:i w:val="1"/>
          <w:iCs w:val="1"/>
          <w:color w:val="auto"/>
        </w:rPr>
        <w:t>(in thousands, except share and per share data)</w:t>
      </w:r>
    </w:p>
    <w:p>
      <w:pPr>
        <w:sectPr>
          <w:pgSz w:w="11900" w:h="16838" w:orient="portrait"/>
          <w:cols w:equalWidth="0" w:num="1">
            <w:col w:w="9019"/>
          </w:cols>
          <w:pgMar w:left="1440" w:top="116" w:right="1440" w:bottom="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color w:val="auto"/>
        </w:rPr>
        <w:t>Note 1: Basis of Presentation</w:t>
      </w:r>
    </w:p>
    <w:p>
      <w:pPr>
        <w:spacing w:after="0" w:line="23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The unaudited pro forma condensed combined financial information has been prepared in accordance with Article 11 of Regulation S-X, as amended, and the unaudited pro forma condensed combined statements of operations reflect transaction accounting adjustments. The historical financial information of SoundHound and Amelia has been adjusted in the unaudited pro forma condensed combined financial information to reflect transaction accounting adjustments related to the Transactions in accordance with GAAP, based on the assumptions and adjustments that are described in the accompanying notes.</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Acquisition will be accounted for as a business combination in accordance with the acquisition method of accounting under GAAP. Under this method of accounting, SoundHound has been determined to be the accounting acquirer and Amelia to be the accounting acquiree. The acquisition method of accounting requires, among other things, that the assets acquired, and liabilities assumed in a business combination are measured and recognized at fair value as of the Acquisition Date. The excess of the purchase consideration over the fair value of assets acquired and liabilities assumed is allocated to goodwill. The final purchase price allocation could differ materially from the preliminary allocation used in the transaction accounting adjustments as the final allocation may include changes in allocations to intangible assets as well as goodwill.</w:t>
      </w:r>
    </w:p>
    <w:p>
      <w:pPr>
        <w:spacing w:after="0" w:line="187"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The unaudited pro forma condensed combined financial information includes certain reclassifications to conform Amelia historical accounting presentation to SoundHound’s accounting presentation. The actual results of operations of the combined company will likely differ, perhaps materially, from the pro forma amounts reflected herein due to a variety of factors. The Company believes that its assumptions and methodologies provide a reasonable basis for presenting all of the significant effects of the Transactions based on information available to management at this time, and that the pro forma transaction accounting adjustments give effect to those assumptions and are properly applied in the unaudited pro forma condensed combined financial information.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unaudited pro forma condensed combined financial information does not give effect to any anticipated synergies, operating efficiencies, tax savings, or cost savings that may be associated with the Acquisition and the related transactions. Both companies continue to experience losses and are in a historical cumulative loss position and both companies have established valuation allowances against net deferred tax assets. The income tax effects of the pro forma adjustments would be fully offset by corresponding adjustments to the valuation allowances, resulting in no net effect on the pro forma condensed combined statements of operations. The effective tax rate of the combined company could be significantly different than what is presented in these unaudited pro forma financial statements depending on post-business combination activities, including legal entity restructuring, repatriation decisions, and the geographical mix of taxable income.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Reclassification Adjustments</w:t>
      </w:r>
    </w:p>
    <w:p>
      <w:pPr>
        <w:spacing w:after="0" w:line="23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The accounting policies used in the preparation of the unaudited pro forma condensed combined financial information are those set out in SoundHound’s audited annual financial statements as of and for the year ended December 31, 2023. SoundHound management is currently evaluating for significant accounting policy differences between SoundHound and Amelia. SoundHound management is performing a comprehensive review of the accounting policies between the two entities and may identify differences in accounting policies between the two entities, which, when conformed, could be material.</w:t>
      </w:r>
    </w:p>
    <w:p>
      <w:pPr>
        <w:spacing w:after="0" w:line="5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Certain reclassifications are reflected in the unaudited pro forma condensed combined balance sheet and unaudited pro forma condensed combined statement of operations to conform presentation between SoundHound and Amelia. These reclassifications have no effect on previously reported total assets, total liabilities and shareholders’ equity, or net income of SoundHound or Amelia. The unaudited pro forma condensed combined financial information may not reflect all reclassifications necessary to conform Amelia’s presentation to that of SoundHound due to limitations on the availability of information as of the date of this current report. Additional reclassification adjustments may be identified as more information becomes available.</w:t>
      </w:r>
    </w:p>
    <w:p>
      <w:pPr>
        <w:spacing w:after="0" w:line="53"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6"/>
          <w:szCs w:val="16"/>
          <w:color w:val="auto"/>
        </w:rPr>
        <w:t>Refer to the table below for a summary of identified reclassification adjustments made to present Amelia’s consolidated balance sheet as of June 30, 2024 to conform presentation to that of SoundHound (in thousands):</w:t>
      </w:r>
    </w:p>
    <w:p>
      <w:pPr>
        <w:sectPr>
          <w:pgSz w:w="11900" w:h="16838" w:orient="portrait"/>
          <w:cols w:equalWidth="0" w:num="1">
            <w:col w:w="11260"/>
          </w:cols>
          <w:pgMar w:left="320" w:top="377" w:right="319" w:bottom="1440" w:gutter="0" w:footer="0" w:header="0"/>
        </w:sectPr>
      </w:pPr>
    </w:p>
    <w:bookmarkStart w:id="67" w:name="page68"/>
    <w:bookmarkEnd w:id="67"/>
    <w:tbl>
      <w:tblPr>
        <w:tblLayout w:type="fixed"/>
        <w:tblInd w:w="1280" w:type="dxa"/>
        <w:tblCellMar>
          <w:top w:w="0" w:type="dxa"/>
          <w:left w:w="0" w:type="dxa"/>
          <w:bottom w:w="0" w:type="dxa"/>
          <w:right w:w="0" w:type="dxa"/>
        </w:tblCellMar>
      </w:tblPr>
      <w:tr>
        <w:trPr>
          <w:trHeight w:val="134"/>
        </w:trPr>
        <w:tc>
          <w:tcPr>
            <w:tcW w:w="22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Amelia Historical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36"/>
              <w:spacing w:after="0"/>
              <w:rPr>
                <w:sz w:val="20"/>
                <w:szCs w:val="20"/>
                <w:color w:val="auto"/>
              </w:rPr>
            </w:pPr>
            <w:r>
              <w:rPr>
                <w:rFonts w:ascii="Times New Roman" w:cs="Times New Roman" w:eastAsia="Times New Roman" w:hAnsi="Times New Roman"/>
                <w:sz w:val="11"/>
                <w:szCs w:val="11"/>
                <w:b w:val="1"/>
                <w:bCs w:val="1"/>
                <w:color w:val="auto"/>
              </w:rPr>
              <w:t>Amelia Historical</w:t>
            </w:r>
          </w:p>
        </w:tc>
      </w:tr>
      <w:tr>
        <w:trPr>
          <w:trHeight w:val="134"/>
        </w:trPr>
        <w:tc>
          <w:tcPr>
            <w:tcW w:w="228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Amelia Consolidated Balance Sheet Line</w:t>
            </w:r>
          </w:p>
        </w:tc>
        <w:tc>
          <w:tcPr>
            <w:tcW w:w="24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SoundHound Consolidated Balance Sheet</w:t>
            </w:r>
          </w:p>
        </w:tc>
        <w:tc>
          <w:tcPr>
            <w:tcW w:w="80" w:type="dxa"/>
            <w:vAlign w:val="bottom"/>
          </w:tcPr>
          <w:p>
            <w:pPr>
              <w:spacing w:after="0"/>
              <w:rPr>
                <w:sz w:val="11"/>
                <w:szCs w:val="11"/>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36"/>
              <w:spacing w:after="0"/>
              <w:rPr>
                <w:sz w:val="20"/>
                <w:szCs w:val="20"/>
                <w:color w:val="auto"/>
              </w:rPr>
            </w:pPr>
            <w:r>
              <w:rPr>
                <w:rFonts w:ascii="Times New Roman" w:cs="Times New Roman" w:eastAsia="Times New Roman" w:hAnsi="Times New Roman"/>
                <w:sz w:val="11"/>
                <w:szCs w:val="11"/>
                <w:b w:val="1"/>
                <w:bCs w:val="1"/>
                <w:color w:val="auto"/>
                <w:w w:val="95"/>
              </w:rPr>
              <w:t>After</w:t>
            </w:r>
          </w:p>
        </w:tc>
      </w:tr>
      <w:tr>
        <w:trPr>
          <w:trHeight w:val="162"/>
        </w:trPr>
        <w:tc>
          <w:tcPr>
            <w:tcW w:w="2280" w:type="dxa"/>
            <w:vAlign w:val="bottom"/>
          </w:tcPr>
          <w:p>
            <w:pPr>
              <w:ind w:left="1020"/>
              <w:spacing w:after="0"/>
              <w:rPr>
                <w:sz w:val="20"/>
                <w:szCs w:val="20"/>
                <w:color w:val="auto"/>
              </w:rPr>
            </w:pPr>
            <w:r>
              <w:rPr>
                <w:rFonts w:ascii="Times New Roman" w:cs="Times New Roman" w:eastAsia="Times New Roman" w:hAnsi="Times New Roman"/>
                <w:sz w:val="11"/>
                <w:szCs w:val="11"/>
                <w:b w:val="1"/>
                <w:bCs w:val="1"/>
                <w:color w:val="auto"/>
              </w:rPr>
              <w:t>Items</w:t>
            </w:r>
          </w:p>
        </w:tc>
        <w:tc>
          <w:tcPr>
            <w:tcW w:w="2440" w:type="dxa"/>
            <w:vAlign w:val="bottom"/>
            <w:gridSpan w:val="2"/>
          </w:tcPr>
          <w:p>
            <w:pPr>
              <w:ind w:left="900"/>
              <w:spacing w:after="0"/>
              <w:rPr>
                <w:sz w:val="20"/>
                <w:szCs w:val="20"/>
                <w:color w:val="auto"/>
              </w:rPr>
            </w:pPr>
            <w:r>
              <w:rPr>
                <w:rFonts w:ascii="Times New Roman" w:cs="Times New Roman" w:eastAsia="Times New Roman" w:hAnsi="Times New Roman"/>
                <w:sz w:val="11"/>
                <w:szCs w:val="11"/>
                <w:b w:val="1"/>
                <w:bCs w:val="1"/>
                <w:color w:val="auto"/>
              </w:rPr>
              <w:t>Line Items</w:t>
            </w: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Balance Sheet</w:t>
            </w:r>
          </w:p>
        </w:tc>
        <w:tc>
          <w:tcPr>
            <w:tcW w:w="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Reclassification</w:t>
            </w:r>
          </w:p>
        </w:tc>
        <w:tc>
          <w:tcPr>
            <w:tcW w:w="72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Note 2</w:t>
            </w:r>
          </w:p>
        </w:tc>
        <w:tc>
          <w:tcPr>
            <w:tcW w:w="980" w:type="dxa"/>
            <w:vAlign w:val="bottom"/>
          </w:tcPr>
          <w:p>
            <w:pPr>
              <w:jc w:val="center"/>
              <w:ind w:right="36"/>
              <w:spacing w:after="0"/>
              <w:rPr>
                <w:sz w:val="20"/>
                <w:szCs w:val="20"/>
                <w:color w:val="auto"/>
              </w:rPr>
            </w:pPr>
            <w:r>
              <w:rPr>
                <w:rFonts w:ascii="Times New Roman" w:cs="Times New Roman" w:eastAsia="Times New Roman" w:hAnsi="Times New Roman"/>
                <w:sz w:val="11"/>
                <w:szCs w:val="11"/>
                <w:b w:val="1"/>
                <w:bCs w:val="1"/>
                <w:color w:val="auto"/>
              </w:rPr>
              <w:t>Reclassification</w:t>
            </w:r>
          </w:p>
        </w:tc>
      </w:tr>
      <w:tr>
        <w:trPr>
          <w:trHeight w:val="27"/>
        </w:trPr>
        <w:tc>
          <w:tcPr>
            <w:tcW w:w="22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65"/>
        </w:trPr>
        <w:tc>
          <w:tcPr>
            <w:tcW w:w="228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187"/>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2,717</w:t>
            </w:r>
          </w:p>
        </w:tc>
      </w:tr>
      <w:tr>
        <w:trPr>
          <w:trHeight w:val="184"/>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Accounts receivable, net</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Accounts receivable, net</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w:t>
            </w:r>
          </w:p>
        </w:tc>
        <w:tc>
          <w:tcPr>
            <w:tcW w:w="100" w:type="dxa"/>
            <w:vAlign w:val="bottom"/>
          </w:tcPr>
          <w:p>
            <w:pPr>
              <w:spacing w:after="0"/>
              <w:rPr>
                <w:sz w:val="16"/>
                <w:szCs w:val="16"/>
                <w:color w:val="auto"/>
              </w:rPr>
            </w:pPr>
          </w:p>
        </w:tc>
        <w:tc>
          <w:tcPr>
            <w:tcW w:w="72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color w:val="auto"/>
                <w:w w:val="96"/>
              </w:rPr>
              <w:t>(a)</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10,520</w:t>
            </w:r>
          </w:p>
        </w:tc>
      </w:tr>
      <w:tr>
        <w:trPr>
          <w:trHeight w:val="23"/>
        </w:trPr>
        <w:tc>
          <w:tcPr>
            <w:tcW w:w="2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2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Contract assets</w:t>
            </w:r>
          </w:p>
        </w:tc>
        <w:tc>
          <w:tcPr>
            <w:tcW w:w="2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Contract assets and unbilled receivable,</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w:t>
            </w:r>
          </w:p>
        </w:tc>
        <w:tc>
          <w:tcPr>
            <w:tcW w:w="10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color w:val="auto"/>
                <w:w w:val="96"/>
              </w:rPr>
              <w:t>(a)</w:t>
            </w: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3,259</w:t>
            </w:r>
          </w:p>
        </w:tc>
      </w:tr>
      <w:tr>
        <w:trPr>
          <w:trHeight w:val="183"/>
        </w:trPr>
        <w:tc>
          <w:tcPr>
            <w:tcW w:w="2280" w:type="dxa"/>
            <w:vAlign w:val="bottom"/>
            <w:tcBorders>
              <w:bottom w:val="single" w:sz="8" w:color="CCEEFF"/>
            </w:tcBorders>
            <w:shd w:val="clear" w:color="auto" w:fill="CCEEFF"/>
          </w:tcPr>
          <w:p>
            <w:pPr>
              <w:spacing w:after="0"/>
              <w:rPr>
                <w:sz w:val="15"/>
                <w:szCs w:val="15"/>
                <w:color w:val="auto"/>
              </w:rPr>
            </w:pPr>
          </w:p>
        </w:tc>
        <w:tc>
          <w:tcPr>
            <w:tcW w:w="24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w:t>
            </w: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r>
      <w:tr>
        <w:trPr>
          <w:trHeight w:val="184"/>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Other current assets</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2,941</w:t>
            </w:r>
          </w:p>
        </w:tc>
        <w:tc>
          <w:tcPr>
            <w:tcW w:w="100" w:type="dxa"/>
            <w:vAlign w:val="bottom"/>
          </w:tcPr>
          <w:p>
            <w:pPr>
              <w:spacing w:after="0"/>
              <w:rPr>
                <w:sz w:val="16"/>
                <w:szCs w:val="16"/>
                <w:color w:val="auto"/>
              </w:rPr>
            </w:pPr>
          </w:p>
        </w:tc>
        <w:tc>
          <w:tcPr>
            <w:tcW w:w="7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color w:val="auto"/>
              </w:rPr>
              <w:t>(b)</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6,294</w:t>
            </w:r>
          </w:p>
        </w:tc>
      </w:tr>
      <w:tr>
        <w:trPr>
          <w:trHeight w:val="157"/>
        </w:trPr>
        <w:tc>
          <w:tcPr>
            <w:tcW w:w="22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4"/>
        </w:trPr>
        <w:tc>
          <w:tcPr>
            <w:tcW w:w="2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1,104</w:t>
            </w:r>
          </w:p>
        </w:tc>
        <w:tc>
          <w:tcPr>
            <w:tcW w:w="10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color w:val="auto"/>
                <w:w w:val="96"/>
              </w:rPr>
              <w:t>(c)</w:t>
            </w:r>
          </w:p>
        </w:tc>
        <w:tc>
          <w:tcPr>
            <w:tcW w:w="980" w:type="dxa"/>
            <w:vAlign w:val="bottom"/>
            <w:shd w:val="clear" w:color="auto" w:fill="CCEEFF"/>
          </w:tcPr>
          <w:p>
            <w:pPr>
              <w:spacing w:after="0"/>
              <w:rPr>
                <w:sz w:val="16"/>
                <w:szCs w:val="16"/>
                <w:color w:val="auto"/>
              </w:rPr>
            </w:pPr>
          </w:p>
        </w:tc>
      </w:tr>
      <w:tr>
        <w:trPr>
          <w:trHeight w:val="157"/>
        </w:trPr>
        <w:tc>
          <w:tcPr>
            <w:tcW w:w="228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84"/>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Other receivables</w:t>
            </w:r>
          </w:p>
        </w:tc>
        <w:tc>
          <w:tcPr>
            <w:tcW w:w="2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(2,941)</w:t>
            </w:r>
          </w:p>
        </w:tc>
        <w:tc>
          <w:tcPr>
            <w:tcW w:w="100" w:type="dxa"/>
            <w:vAlign w:val="bottom"/>
          </w:tcPr>
          <w:p>
            <w:pPr>
              <w:spacing w:after="0"/>
              <w:rPr>
                <w:sz w:val="16"/>
                <w:szCs w:val="16"/>
                <w:color w:val="auto"/>
              </w:rPr>
            </w:pPr>
          </w:p>
        </w:tc>
        <w:tc>
          <w:tcPr>
            <w:tcW w:w="7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color w:val="auto"/>
              </w:rPr>
              <w:t>(b)</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22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4"/>
        </w:trPr>
        <w:tc>
          <w:tcPr>
            <w:tcW w:w="2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Deferred sales commissions</w:t>
            </w:r>
          </w:p>
        </w:tc>
        <w:tc>
          <w:tcPr>
            <w:tcW w:w="2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(1,104)</w:t>
            </w:r>
          </w:p>
        </w:tc>
        <w:tc>
          <w:tcPr>
            <w:tcW w:w="10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color w:val="auto"/>
                <w:w w:val="96"/>
              </w:rPr>
              <w:t>(c)</w:t>
            </w: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228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84"/>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Restricted cash equivalents, non-current</w:t>
            </w: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23"/>
        </w:trPr>
        <w:tc>
          <w:tcPr>
            <w:tcW w:w="2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4"/>
        </w:trPr>
        <w:tc>
          <w:tcPr>
            <w:tcW w:w="2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Right-of-use assets</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10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rPr>
              <w:t>(d)</w:t>
            </w: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236</w:t>
            </w:r>
          </w:p>
        </w:tc>
      </w:tr>
      <w:tr>
        <w:trPr>
          <w:trHeight w:val="157"/>
        </w:trPr>
        <w:tc>
          <w:tcPr>
            <w:tcW w:w="228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84"/>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100" w:type="dxa"/>
            <w:vAlign w:val="bottom"/>
          </w:tcPr>
          <w:p>
            <w:pPr>
              <w:spacing w:after="0"/>
              <w:rPr>
                <w:sz w:val="16"/>
                <w:szCs w:val="16"/>
                <w:color w:val="auto"/>
              </w:rPr>
            </w:pPr>
          </w:p>
        </w:tc>
        <w:tc>
          <w:tcPr>
            <w:tcW w:w="7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color w:val="auto"/>
              </w:rPr>
              <w:t>(d)</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370</w:t>
            </w:r>
          </w:p>
        </w:tc>
      </w:tr>
      <w:tr>
        <w:trPr>
          <w:trHeight w:val="157"/>
        </w:trPr>
        <w:tc>
          <w:tcPr>
            <w:tcW w:w="22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7"/>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Goodwill</w:t>
            </w:r>
          </w:p>
        </w:tc>
        <w:tc>
          <w:tcPr>
            <w:tcW w:w="24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Goodwill</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107,307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107,307</w:t>
            </w:r>
          </w:p>
        </w:tc>
      </w:tr>
      <w:tr>
        <w:trPr>
          <w:trHeight w:val="184"/>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Intangibles, net</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Intangible assets, net</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47,971</w:t>
            </w:r>
          </w:p>
        </w:tc>
      </w:tr>
      <w:tr>
        <w:trPr>
          <w:trHeight w:val="23"/>
        </w:trPr>
        <w:tc>
          <w:tcPr>
            <w:tcW w:w="2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7"/>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4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Deferred tax asset</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Contract assets and unbilled receivable,</w:t>
            </w:r>
          </w:p>
        </w:tc>
        <w:tc>
          <w:tcPr>
            <w:tcW w:w="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2280" w:type="dxa"/>
            <w:vAlign w:val="bottom"/>
          </w:tcPr>
          <w:p>
            <w:pPr>
              <w:spacing w:after="0"/>
              <w:rPr>
                <w:sz w:val="14"/>
                <w:szCs w:val="14"/>
                <w:color w:val="auto"/>
              </w:rPr>
            </w:pP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noncurrent, net</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5"/>
        </w:trPr>
        <w:tc>
          <w:tcPr>
            <w:tcW w:w="228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184"/>
        </w:trPr>
        <w:tc>
          <w:tcPr>
            <w:tcW w:w="2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Deferred sales commissions, non-current</w:t>
            </w:r>
          </w:p>
        </w:tc>
        <w:tc>
          <w:tcPr>
            <w:tcW w:w="2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(2,164)</w:t>
            </w:r>
          </w:p>
        </w:tc>
        <w:tc>
          <w:tcPr>
            <w:tcW w:w="10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color w:val="auto"/>
                <w:w w:val="96"/>
              </w:rPr>
              <w:t>(e)</w:t>
            </w: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228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84"/>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Other non-current assets</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Other non-current assets</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w:t>
            </w:r>
          </w:p>
        </w:tc>
        <w:tc>
          <w:tcPr>
            <w:tcW w:w="100" w:type="dxa"/>
            <w:vAlign w:val="bottom"/>
          </w:tcPr>
          <w:p>
            <w:pPr>
              <w:spacing w:after="0"/>
              <w:rPr>
                <w:sz w:val="16"/>
                <w:szCs w:val="16"/>
                <w:color w:val="auto"/>
              </w:rPr>
            </w:pPr>
          </w:p>
        </w:tc>
        <w:tc>
          <w:tcPr>
            <w:tcW w:w="7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color w:val="auto"/>
              </w:rPr>
              <w:t>(d)</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4,990</w:t>
            </w:r>
          </w:p>
        </w:tc>
      </w:tr>
      <w:tr>
        <w:trPr>
          <w:trHeight w:val="157"/>
        </w:trPr>
        <w:tc>
          <w:tcPr>
            <w:tcW w:w="22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4"/>
        </w:trPr>
        <w:tc>
          <w:tcPr>
            <w:tcW w:w="228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2,164</w:t>
            </w:r>
          </w:p>
        </w:tc>
        <w:tc>
          <w:tcPr>
            <w:tcW w:w="10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color w:val="auto"/>
                <w:w w:val="96"/>
              </w:rPr>
              <w:t>(e)</w:t>
            </w:r>
          </w:p>
        </w:tc>
        <w:tc>
          <w:tcPr>
            <w:tcW w:w="980" w:type="dxa"/>
            <w:vAlign w:val="bottom"/>
            <w:shd w:val="clear" w:color="auto" w:fill="CCEEFF"/>
          </w:tcPr>
          <w:p>
            <w:pPr>
              <w:spacing w:after="0"/>
              <w:rPr>
                <w:sz w:val="16"/>
                <w:szCs w:val="16"/>
                <w:color w:val="auto"/>
              </w:rPr>
            </w:pPr>
          </w:p>
        </w:tc>
      </w:tr>
      <w:tr>
        <w:trPr>
          <w:trHeight w:val="157"/>
        </w:trPr>
        <w:tc>
          <w:tcPr>
            <w:tcW w:w="228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84"/>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Accounts payable</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Accounts payable</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12,312</w:t>
            </w:r>
          </w:p>
        </w:tc>
      </w:tr>
      <w:tr>
        <w:trPr>
          <w:trHeight w:val="23"/>
        </w:trPr>
        <w:tc>
          <w:tcPr>
            <w:tcW w:w="2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7"/>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Accrued expenses</w:t>
            </w:r>
          </w:p>
        </w:tc>
        <w:tc>
          <w:tcPr>
            <w:tcW w:w="24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Accrued liabilities</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11,738</w:t>
            </w:r>
          </w:p>
        </w:tc>
      </w:tr>
      <w:tr>
        <w:trPr>
          <w:trHeight w:val="184"/>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00" w:type="dxa"/>
            <w:vAlign w:val="bottom"/>
          </w:tcPr>
          <w:p>
            <w:pPr>
              <w:spacing w:after="0"/>
              <w:rPr>
                <w:sz w:val="16"/>
                <w:szCs w:val="16"/>
                <w:color w:val="auto"/>
              </w:rPr>
            </w:pPr>
          </w:p>
        </w:tc>
        <w:tc>
          <w:tcPr>
            <w:tcW w:w="7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color w:val="auto"/>
                <w:w w:val="92"/>
              </w:rPr>
              <w:t>(f)</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217</w:t>
            </w:r>
          </w:p>
        </w:tc>
      </w:tr>
      <w:tr>
        <w:trPr>
          <w:trHeight w:val="157"/>
        </w:trPr>
        <w:tc>
          <w:tcPr>
            <w:tcW w:w="22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4"/>
        </w:trPr>
        <w:tc>
          <w:tcPr>
            <w:tcW w:w="2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Finance lease liabilities</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w w:val="92"/>
              </w:rPr>
              <w:t>(f)</w:t>
            </w: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36</w:t>
            </w:r>
          </w:p>
        </w:tc>
      </w:tr>
      <w:tr>
        <w:trPr>
          <w:trHeight w:val="157"/>
        </w:trPr>
        <w:tc>
          <w:tcPr>
            <w:tcW w:w="228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84"/>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Income tax liability</w:t>
            </w: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5,770</w:t>
            </w:r>
          </w:p>
        </w:tc>
        <w:tc>
          <w:tcPr>
            <w:tcW w:w="100" w:type="dxa"/>
            <w:vAlign w:val="bottom"/>
          </w:tcPr>
          <w:p>
            <w:pPr>
              <w:spacing w:after="0"/>
              <w:rPr>
                <w:sz w:val="16"/>
                <w:szCs w:val="16"/>
                <w:color w:val="auto"/>
              </w:rPr>
            </w:pPr>
          </w:p>
        </w:tc>
        <w:tc>
          <w:tcPr>
            <w:tcW w:w="7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color w:val="auto"/>
              </w:rPr>
              <w:t>(g)</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5,770</w:t>
            </w:r>
          </w:p>
        </w:tc>
      </w:tr>
      <w:tr>
        <w:trPr>
          <w:trHeight w:val="157"/>
        </w:trPr>
        <w:tc>
          <w:tcPr>
            <w:tcW w:w="22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7"/>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Deferred revenues</w:t>
            </w:r>
          </w:p>
        </w:tc>
        <w:tc>
          <w:tcPr>
            <w:tcW w:w="24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Deferred revenue</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26,791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26,791</w:t>
            </w:r>
          </w:p>
        </w:tc>
      </w:tr>
      <w:tr>
        <w:trPr>
          <w:trHeight w:val="184"/>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2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96,014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96,014</w:t>
            </w:r>
          </w:p>
        </w:tc>
      </w:tr>
      <w:tr>
        <w:trPr>
          <w:trHeight w:val="23"/>
        </w:trPr>
        <w:tc>
          <w:tcPr>
            <w:tcW w:w="2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4"/>
        </w:trPr>
        <w:tc>
          <w:tcPr>
            <w:tcW w:w="2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Due to related party</w:t>
            </w:r>
          </w:p>
        </w:tc>
        <w:tc>
          <w:tcPr>
            <w:tcW w:w="2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(858)</w:t>
            </w:r>
          </w:p>
        </w:tc>
        <w:tc>
          <w:tcPr>
            <w:tcW w:w="10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rPr>
              <w:t>(h)</w:t>
            </w: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228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84"/>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100" w:type="dxa"/>
            <w:vAlign w:val="bottom"/>
          </w:tcPr>
          <w:p>
            <w:pPr>
              <w:spacing w:after="0"/>
              <w:rPr>
                <w:sz w:val="16"/>
                <w:szCs w:val="16"/>
                <w:color w:val="auto"/>
              </w:rPr>
            </w:pPr>
          </w:p>
        </w:tc>
        <w:tc>
          <w:tcPr>
            <w:tcW w:w="7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color w:val="auto"/>
                <w:w w:val="92"/>
              </w:rPr>
              <w:t>(f)</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858</w:t>
            </w:r>
          </w:p>
        </w:tc>
      </w:tr>
      <w:tr>
        <w:trPr>
          <w:trHeight w:val="157"/>
        </w:trPr>
        <w:tc>
          <w:tcPr>
            <w:tcW w:w="22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4"/>
        </w:trPr>
        <w:tc>
          <w:tcPr>
            <w:tcW w:w="228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(5,770)</w:t>
            </w:r>
          </w:p>
        </w:tc>
        <w:tc>
          <w:tcPr>
            <w:tcW w:w="10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rPr>
              <w:t>(g)</w:t>
            </w:r>
          </w:p>
        </w:tc>
        <w:tc>
          <w:tcPr>
            <w:tcW w:w="980" w:type="dxa"/>
            <w:vAlign w:val="bottom"/>
            <w:shd w:val="clear" w:color="auto" w:fill="CCEEFF"/>
          </w:tcPr>
          <w:p>
            <w:pPr>
              <w:spacing w:after="0"/>
              <w:rPr>
                <w:sz w:val="16"/>
                <w:szCs w:val="16"/>
                <w:color w:val="auto"/>
              </w:rPr>
            </w:pPr>
          </w:p>
        </w:tc>
      </w:tr>
      <w:tr>
        <w:trPr>
          <w:trHeight w:val="157"/>
        </w:trPr>
        <w:tc>
          <w:tcPr>
            <w:tcW w:w="228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84"/>
        </w:trPr>
        <w:tc>
          <w:tcPr>
            <w:tcW w:w="2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858</w:t>
            </w:r>
          </w:p>
        </w:tc>
        <w:tc>
          <w:tcPr>
            <w:tcW w:w="100" w:type="dxa"/>
            <w:vAlign w:val="bottom"/>
          </w:tcPr>
          <w:p>
            <w:pPr>
              <w:spacing w:after="0"/>
              <w:rPr>
                <w:sz w:val="16"/>
                <w:szCs w:val="16"/>
                <w:color w:val="auto"/>
              </w:rPr>
            </w:pPr>
          </w:p>
        </w:tc>
        <w:tc>
          <w:tcPr>
            <w:tcW w:w="7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color w:val="auto"/>
              </w:rPr>
              <w:t>(h)</w:t>
            </w:r>
          </w:p>
        </w:tc>
        <w:tc>
          <w:tcPr>
            <w:tcW w:w="980" w:type="dxa"/>
            <w:vAlign w:val="bottom"/>
          </w:tcPr>
          <w:p>
            <w:pPr>
              <w:spacing w:after="0"/>
              <w:rPr>
                <w:sz w:val="16"/>
                <w:szCs w:val="16"/>
                <w:color w:val="auto"/>
              </w:rPr>
            </w:pPr>
          </w:p>
        </w:tc>
      </w:tr>
      <w:tr>
        <w:trPr>
          <w:trHeight w:val="157"/>
        </w:trPr>
        <w:tc>
          <w:tcPr>
            <w:tcW w:w="22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4"/>
        </w:trPr>
        <w:tc>
          <w:tcPr>
            <w:tcW w:w="228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rPr>
              <w:t>(k)</w:t>
            </w:r>
          </w:p>
        </w:tc>
        <w:tc>
          <w:tcPr>
            <w:tcW w:w="980" w:type="dxa"/>
            <w:vAlign w:val="bottom"/>
            <w:shd w:val="clear" w:color="auto" w:fill="CCEEFF"/>
          </w:tcPr>
          <w:p>
            <w:pPr>
              <w:spacing w:after="0"/>
              <w:rPr>
                <w:sz w:val="16"/>
                <w:szCs w:val="16"/>
                <w:color w:val="auto"/>
              </w:rPr>
            </w:pPr>
          </w:p>
        </w:tc>
      </w:tr>
      <w:tr>
        <w:trPr>
          <w:trHeight w:val="157"/>
        </w:trPr>
        <w:tc>
          <w:tcPr>
            <w:tcW w:w="228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75"/>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Operating lease liabilities, net of current</w:t>
            </w:r>
          </w:p>
        </w:tc>
        <w:tc>
          <w:tcPr>
            <w:tcW w:w="8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5"/>
                <w:szCs w:val="15"/>
                <w:color w:val="auto"/>
              </w:rPr>
            </w:pPr>
          </w:p>
        </w:tc>
        <w:tc>
          <w:tcPr>
            <w:tcW w:w="7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color w:val="auto"/>
                <w:w w:val="97"/>
              </w:rPr>
              <w:t>(i)</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34</w:t>
            </w:r>
          </w:p>
        </w:tc>
      </w:tr>
      <w:tr>
        <w:trPr>
          <w:trHeight w:val="168"/>
        </w:trPr>
        <w:tc>
          <w:tcPr>
            <w:tcW w:w="2280" w:type="dxa"/>
            <w:vAlign w:val="bottom"/>
          </w:tcPr>
          <w:p>
            <w:pPr>
              <w:spacing w:after="0"/>
              <w:rPr>
                <w:sz w:val="14"/>
                <w:szCs w:val="14"/>
                <w:color w:val="auto"/>
              </w:rPr>
            </w:pP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portion</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5"/>
        </w:trPr>
        <w:tc>
          <w:tcPr>
            <w:tcW w:w="228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187"/>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Deferred revenue, net of current portion</w:t>
            </w:r>
          </w:p>
        </w:tc>
        <w:tc>
          <w:tcPr>
            <w:tcW w:w="24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Deferred revenue, net of current portion</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5,722</w:t>
            </w:r>
          </w:p>
        </w:tc>
      </w:tr>
      <w:tr>
        <w:trPr>
          <w:trHeight w:val="184"/>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Warrant liability</w:t>
            </w:r>
          </w:p>
        </w:tc>
        <w:tc>
          <w:tcPr>
            <w:tcW w:w="2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(5,424)</w:t>
            </w:r>
          </w:p>
        </w:tc>
        <w:tc>
          <w:tcPr>
            <w:tcW w:w="100" w:type="dxa"/>
            <w:vAlign w:val="bottom"/>
          </w:tcPr>
          <w:p>
            <w:pPr>
              <w:spacing w:after="0"/>
              <w:rPr>
                <w:sz w:val="16"/>
                <w:szCs w:val="16"/>
                <w:color w:val="auto"/>
              </w:rPr>
            </w:pPr>
          </w:p>
        </w:tc>
        <w:tc>
          <w:tcPr>
            <w:tcW w:w="7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color w:val="auto"/>
                <w:w w:val="97"/>
              </w:rPr>
              <w:t>(j)</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22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7"/>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4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Contingent acquisition liabilities</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Deferred tax liability</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Deferred tax liability</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6"/>
                <w:szCs w:val="16"/>
                <w:color w:val="auto"/>
              </w:rPr>
            </w:pPr>
          </w:p>
        </w:tc>
        <w:tc>
          <w:tcPr>
            <w:tcW w:w="7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color w:val="auto"/>
              </w:rPr>
              <w:t>(k)</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12,353</w:t>
            </w:r>
          </w:p>
        </w:tc>
      </w:tr>
      <w:tr>
        <w:trPr>
          <w:trHeight w:val="157"/>
        </w:trPr>
        <w:tc>
          <w:tcPr>
            <w:tcW w:w="22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7"/>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4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Income tax liability, net of current portion</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6"/>
                <w:szCs w:val="16"/>
                <w:color w:val="auto"/>
              </w:rPr>
            </w:pPr>
          </w:p>
        </w:tc>
        <w:tc>
          <w:tcPr>
            <w:tcW w:w="7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color w:val="auto"/>
                <w:w w:val="97"/>
              </w:rPr>
              <w:t>(i)</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5,462</w:t>
            </w:r>
          </w:p>
        </w:tc>
      </w:tr>
      <w:tr>
        <w:trPr>
          <w:trHeight w:val="157"/>
        </w:trPr>
        <w:tc>
          <w:tcPr>
            <w:tcW w:w="22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4"/>
        </w:trPr>
        <w:tc>
          <w:tcPr>
            <w:tcW w:w="228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5,424</w:t>
            </w:r>
          </w:p>
        </w:tc>
        <w:tc>
          <w:tcPr>
            <w:tcW w:w="10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w w:val="97"/>
              </w:rPr>
              <w:t>(j)</w:t>
            </w:r>
          </w:p>
        </w:tc>
        <w:tc>
          <w:tcPr>
            <w:tcW w:w="980" w:type="dxa"/>
            <w:vAlign w:val="bottom"/>
            <w:shd w:val="clear" w:color="auto" w:fill="CCEEFF"/>
          </w:tcPr>
          <w:p>
            <w:pPr>
              <w:spacing w:after="0"/>
              <w:rPr>
                <w:sz w:val="16"/>
                <w:szCs w:val="16"/>
                <w:color w:val="auto"/>
              </w:rPr>
            </w:pPr>
          </w:p>
        </w:tc>
      </w:tr>
      <w:tr>
        <w:trPr>
          <w:trHeight w:val="157"/>
        </w:trPr>
        <w:tc>
          <w:tcPr>
            <w:tcW w:w="228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84"/>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Common stock</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Common Stock, Amelia</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100</w:t>
            </w:r>
          </w:p>
        </w:tc>
      </w:tr>
      <w:tr>
        <w:trPr>
          <w:trHeight w:val="23"/>
        </w:trPr>
        <w:tc>
          <w:tcPr>
            <w:tcW w:w="2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7"/>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Preferred stock</w:t>
            </w:r>
          </w:p>
        </w:tc>
        <w:tc>
          <w:tcPr>
            <w:tcW w:w="24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Preferred Stock, Amelia</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267,680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267,680</w:t>
            </w:r>
          </w:p>
        </w:tc>
      </w:tr>
      <w:tr>
        <w:trPr>
          <w:trHeight w:val="184"/>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Series A Preferred Stock</w:t>
            </w: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23"/>
        </w:trPr>
        <w:tc>
          <w:tcPr>
            <w:tcW w:w="2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7"/>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24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Class A Common Stock</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Class B Common Stock</w:t>
            </w:r>
          </w:p>
        </w:tc>
        <w:tc>
          <w:tcPr>
            <w:tcW w:w="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23"/>
        </w:trPr>
        <w:tc>
          <w:tcPr>
            <w:tcW w:w="2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7"/>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4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Accumulated deficit</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Accumulated deficit</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(258,813)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(258,813)</w:t>
            </w:r>
          </w:p>
        </w:tc>
      </w:tr>
      <w:tr>
        <w:trPr>
          <w:trHeight w:val="23"/>
        </w:trPr>
        <w:tc>
          <w:tcPr>
            <w:tcW w:w="2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2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(2,610)</w:t>
            </w:r>
          </w:p>
        </w:tc>
      </w:tr>
      <w:tr>
        <w:trPr>
          <w:trHeight w:val="168"/>
        </w:trPr>
        <w:tc>
          <w:tcPr>
            <w:tcW w:w="2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gain</w:t>
            </w:r>
          </w:p>
        </w:tc>
        <w:tc>
          <w:tcPr>
            <w:tcW w:w="2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35"/>
        </w:trPr>
        <w:tc>
          <w:tcPr>
            <w:tcW w:w="2280" w:type="dxa"/>
            <w:vAlign w:val="bottom"/>
            <w:shd w:val="clear" w:color="auto" w:fill="CCEEFF"/>
          </w:tcPr>
          <w:p>
            <w:pPr>
              <w:spacing w:after="0"/>
              <w:rPr>
                <w:sz w:val="3"/>
                <w:szCs w:val="3"/>
                <w:color w:val="auto"/>
              </w:rPr>
            </w:pPr>
          </w:p>
        </w:tc>
        <w:tc>
          <w:tcPr>
            <w:tcW w:w="2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r>
    </w:tbl>
    <w:p>
      <w:pPr>
        <w:spacing w:after="0" w:line="293" w:lineRule="exact"/>
        <w:rPr>
          <w:sz w:val="20"/>
          <w:szCs w:val="20"/>
          <w:color w:val="auto"/>
        </w:rPr>
      </w:pPr>
    </w:p>
    <w:p>
      <w:pPr>
        <w:ind w:left="580" w:hanging="290"/>
        <w:spacing w:after="0"/>
        <w:tabs>
          <w:tab w:leader="none" w:pos="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reclassification of contract assets from accounts receivable, net.</w:t>
      </w:r>
    </w:p>
    <w:p>
      <w:pPr>
        <w:spacing w:after="0" w:line="2" w:lineRule="exact"/>
        <w:rPr>
          <w:rFonts w:ascii="Times New Roman" w:cs="Times New Roman" w:eastAsia="Times New Roman" w:hAnsi="Times New Roman"/>
          <w:sz w:val="15"/>
          <w:szCs w:val="15"/>
          <w:color w:val="auto"/>
        </w:rPr>
      </w:pPr>
    </w:p>
    <w:p>
      <w:pPr>
        <w:ind w:left="580" w:hanging="290"/>
        <w:spacing w:after="0" w:line="220" w:lineRule="auto"/>
        <w:tabs>
          <w:tab w:leader="none" w:pos="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reclassification of other receivables to other current assets.</w:t>
      </w:r>
    </w:p>
    <w:p>
      <w:pPr>
        <w:ind w:left="580" w:hanging="290"/>
        <w:spacing w:after="0" w:line="237" w:lineRule="auto"/>
        <w:tabs>
          <w:tab w:leader="none" w:pos="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reclassification of deferred sales commissions to other current assets.</w:t>
      </w:r>
    </w:p>
    <w:p>
      <w:pPr>
        <w:ind w:left="580" w:hanging="290"/>
        <w:spacing w:after="0"/>
        <w:tabs>
          <w:tab w:leader="none" w:pos="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reclassification of right-of-use assets and property and equipment from other non-current assets.</w:t>
      </w:r>
    </w:p>
    <w:p>
      <w:pPr>
        <w:spacing w:after="0" w:line="1" w:lineRule="exact"/>
        <w:rPr>
          <w:rFonts w:ascii="Times New Roman" w:cs="Times New Roman" w:eastAsia="Times New Roman" w:hAnsi="Times New Roman"/>
          <w:sz w:val="15"/>
          <w:szCs w:val="15"/>
          <w:color w:val="auto"/>
        </w:rPr>
      </w:pPr>
    </w:p>
    <w:p>
      <w:pPr>
        <w:ind w:left="580" w:hanging="290"/>
        <w:spacing w:after="0"/>
        <w:tabs>
          <w:tab w:leader="none" w:pos="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reclassification of deferred sales commissions, non-current to other non-current assets.</w:t>
      </w:r>
    </w:p>
    <w:p>
      <w:pPr>
        <w:spacing w:after="0" w:line="6" w:lineRule="exact"/>
        <w:rPr>
          <w:rFonts w:ascii="Times New Roman" w:cs="Times New Roman" w:eastAsia="Times New Roman" w:hAnsi="Times New Roman"/>
          <w:sz w:val="15"/>
          <w:szCs w:val="15"/>
          <w:color w:val="auto"/>
        </w:rPr>
      </w:pPr>
    </w:p>
    <w:p>
      <w:pPr>
        <w:ind w:left="580" w:hanging="290"/>
        <w:spacing w:after="0" w:line="237" w:lineRule="auto"/>
        <w:tabs>
          <w:tab w:leader="none" w:pos="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reclassification of operating lease liabilities and finance lease liabilities from other current liabilities.</w:t>
      </w:r>
    </w:p>
    <w:p>
      <w:pPr>
        <w:ind w:left="580" w:hanging="290"/>
        <w:spacing w:after="0" w:line="237" w:lineRule="auto"/>
        <w:tabs>
          <w:tab w:leader="none" w:pos="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reclassification of income tax liability from other current liabilities.</w:t>
      </w:r>
    </w:p>
    <w:p>
      <w:pPr>
        <w:ind w:left="580" w:hanging="290"/>
        <w:spacing w:after="0" w:line="237" w:lineRule="auto"/>
        <w:tabs>
          <w:tab w:leader="none" w:pos="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reclassification of due to related party to other current liabilities.</w:t>
      </w:r>
    </w:p>
    <w:p>
      <w:pPr>
        <w:ind w:left="580" w:hanging="290"/>
        <w:spacing w:after="0"/>
        <w:tabs>
          <w:tab w:leader="none" w:pos="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reclassification of non-current operating lease liabilities from other non-current liabilities.</w:t>
      </w:r>
    </w:p>
    <w:p>
      <w:pPr>
        <w:spacing w:after="0" w:line="1" w:lineRule="exact"/>
        <w:rPr>
          <w:rFonts w:ascii="Times New Roman" w:cs="Times New Roman" w:eastAsia="Times New Roman" w:hAnsi="Times New Roman"/>
          <w:sz w:val="15"/>
          <w:szCs w:val="15"/>
          <w:color w:val="auto"/>
        </w:rPr>
      </w:pPr>
    </w:p>
    <w:p>
      <w:pPr>
        <w:ind w:left="580" w:hanging="290"/>
        <w:spacing w:after="0"/>
        <w:tabs>
          <w:tab w:leader="none" w:pos="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reclassification of warrant liability to other non-current liabilities.</w:t>
      </w:r>
    </w:p>
    <w:p>
      <w:pPr>
        <w:spacing w:after="0" w:line="6" w:lineRule="exact"/>
        <w:rPr>
          <w:rFonts w:ascii="Times New Roman" w:cs="Times New Roman" w:eastAsia="Times New Roman" w:hAnsi="Times New Roman"/>
          <w:sz w:val="15"/>
          <w:szCs w:val="15"/>
          <w:color w:val="auto"/>
        </w:rPr>
      </w:pPr>
    </w:p>
    <w:p>
      <w:pPr>
        <w:ind w:left="580" w:hanging="290"/>
        <w:spacing w:after="0"/>
        <w:tabs>
          <w:tab w:leader="none" w:pos="5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reclassification of deferred tax liability from other current liabilities.</w:t>
      </w:r>
    </w:p>
    <w:p>
      <w:pPr>
        <w:sectPr>
          <w:pgSz w:w="11900" w:h="16838" w:orient="portrait"/>
          <w:cols w:equalWidth="0" w:num="1">
            <w:col w:w="11240"/>
          </w:cols>
          <w:pgMar w:left="320" w:top="292" w:right="339" w:bottom="0" w:gutter="0" w:footer="0" w:header="0"/>
        </w:sectPr>
      </w:pPr>
    </w:p>
    <w:p>
      <w:pPr>
        <w:spacing w:after="0" w:line="210" w:lineRule="exact"/>
        <w:rPr>
          <w:sz w:val="20"/>
          <w:szCs w:val="20"/>
          <w:color w:val="auto"/>
        </w:rPr>
      </w:pPr>
    </w:p>
    <w:p>
      <w:pPr>
        <w:ind w:firstLine="585"/>
        <w:spacing w:after="0" w:line="289" w:lineRule="auto"/>
        <w:rPr>
          <w:sz w:val="20"/>
          <w:szCs w:val="20"/>
          <w:color w:val="auto"/>
        </w:rPr>
      </w:pPr>
      <w:r>
        <w:rPr>
          <w:rFonts w:ascii="Times New Roman" w:cs="Times New Roman" w:eastAsia="Times New Roman" w:hAnsi="Times New Roman"/>
          <w:sz w:val="16"/>
          <w:szCs w:val="16"/>
          <w:color w:val="auto"/>
        </w:rPr>
        <w:t>Refer to the table below for a summary of identified reclassification adjustments made to present Amelia’s consolidated statement of operations for the year ended of December 31, 2023, to conform presentation to that of SoundHound (in thousands):</w:t>
      </w:r>
    </w:p>
    <w:p>
      <w:pPr>
        <w:sectPr>
          <w:pgSz w:w="11900" w:h="16838" w:orient="portrait"/>
          <w:cols w:equalWidth="0" w:num="1">
            <w:col w:w="11240"/>
          </w:cols>
          <w:pgMar w:left="320" w:top="292" w:right="339" w:bottom="0" w:gutter="0" w:footer="0" w:header="0"/>
          <w:type w:val="continuous"/>
        </w:sectPr>
      </w:pPr>
    </w:p>
    <w:bookmarkStart w:id="68" w:name="page69"/>
    <w:bookmarkEnd w:id="68"/>
    <w:tbl>
      <w:tblPr>
        <w:tblLayout w:type="fixed"/>
        <w:tblInd w:w="1160" w:type="dxa"/>
        <w:tblCellMar>
          <w:top w:w="0" w:type="dxa"/>
          <w:left w:w="0" w:type="dxa"/>
          <w:bottom w:w="0" w:type="dxa"/>
          <w:right w:w="0" w:type="dxa"/>
        </w:tblCellMar>
      </w:tblPr>
      <w:tr>
        <w:trPr>
          <w:trHeight w:val="134"/>
        </w:trPr>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Amelia Consolidated</w:t>
            </w:r>
          </w:p>
        </w:tc>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Amelia Historical</w:t>
            </w: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34"/>
        </w:trPr>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Statement of Operations Line</w:t>
            </w:r>
          </w:p>
        </w:tc>
        <w:tc>
          <w:tcPr>
            <w:tcW w:w="22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SoundHound Consolidated Statement of</w:t>
            </w:r>
          </w:p>
        </w:tc>
        <w:tc>
          <w:tcPr>
            <w:tcW w:w="100" w:type="dxa"/>
            <w:vAlign w:val="bottom"/>
          </w:tcPr>
          <w:p>
            <w:pPr>
              <w:spacing w:after="0"/>
              <w:rPr>
                <w:sz w:val="11"/>
                <w:szCs w:val="11"/>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Consolidated Statement</w:t>
            </w: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Amelia Historical After</w:t>
            </w:r>
          </w:p>
        </w:tc>
      </w:tr>
      <w:tr>
        <w:trPr>
          <w:trHeight w:val="162"/>
        </w:trPr>
        <w:tc>
          <w:tcPr>
            <w:tcW w:w="1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Items</w:t>
            </w:r>
          </w:p>
        </w:tc>
        <w:tc>
          <w:tcPr>
            <w:tcW w:w="2220" w:type="dxa"/>
            <w:vAlign w:val="bottom"/>
            <w:gridSpan w:val="2"/>
          </w:tcPr>
          <w:p>
            <w:pPr>
              <w:ind w:left="520"/>
              <w:spacing w:after="0"/>
              <w:rPr>
                <w:sz w:val="20"/>
                <w:szCs w:val="20"/>
                <w:color w:val="auto"/>
              </w:rPr>
            </w:pPr>
            <w:r>
              <w:rPr>
                <w:rFonts w:ascii="Times New Roman" w:cs="Times New Roman" w:eastAsia="Times New Roman" w:hAnsi="Times New Roman"/>
                <w:sz w:val="11"/>
                <w:szCs w:val="11"/>
                <w:b w:val="1"/>
                <w:bCs w:val="1"/>
                <w:color w:val="auto"/>
              </w:rPr>
              <w:t>Operations Line Items</w:t>
            </w:r>
          </w:p>
        </w:tc>
        <w:tc>
          <w:tcPr>
            <w:tcW w:w="10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of Operations</w:t>
            </w:r>
          </w:p>
        </w:tc>
        <w:tc>
          <w:tcPr>
            <w:tcW w:w="20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Reclassification</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Note 2</w:t>
            </w:r>
          </w:p>
        </w:tc>
        <w:tc>
          <w:tcPr>
            <w:tcW w:w="100" w:type="dxa"/>
            <w:vAlign w:val="bottom"/>
          </w:tcPr>
          <w:p>
            <w:pPr>
              <w:spacing w:after="0"/>
              <w:rPr>
                <w:sz w:val="14"/>
                <w:szCs w:val="14"/>
                <w:color w:val="auto"/>
              </w:rPr>
            </w:pPr>
          </w:p>
        </w:tc>
        <w:tc>
          <w:tcPr>
            <w:tcW w:w="1300" w:type="dxa"/>
            <w:vAlign w:val="bottom"/>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Reclassification</w:t>
            </w:r>
          </w:p>
        </w:tc>
      </w:tr>
      <w:tr>
        <w:trPr>
          <w:trHeight w:val="27"/>
        </w:trPr>
        <w:tc>
          <w:tcPr>
            <w:tcW w:w="16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65"/>
        </w:trPr>
        <w:tc>
          <w:tcPr>
            <w:tcW w:w="16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187"/>
        </w:trPr>
        <w:tc>
          <w:tcPr>
            <w:tcW w:w="16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Revenue</w:t>
            </w:r>
          </w:p>
        </w:tc>
        <w:tc>
          <w:tcPr>
            <w:tcW w:w="22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93,274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93,274</w:t>
            </w:r>
          </w:p>
        </w:tc>
      </w:tr>
      <w:tr>
        <w:trPr>
          <w:trHeight w:val="175"/>
        </w:trPr>
        <w:tc>
          <w:tcPr>
            <w:tcW w:w="1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Cost of revenues (exclusive</w:t>
            </w:r>
          </w:p>
        </w:tc>
        <w:tc>
          <w:tcPr>
            <w:tcW w:w="22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Cost of revenues</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56,891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8,800</w:t>
            </w:r>
          </w:p>
        </w:tc>
        <w:tc>
          <w:tcPr>
            <w:tcW w:w="100" w:type="dxa"/>
            <w:vAlign w:val="bottom"/>
          </w:tcPr>
          <w:p>
            <w:pPr>
              <w:spacing w:after="0"/>
              <w:rPr>
                <w:sz w:val="15"/>
                <w:szCs w:val="15"/>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(l)</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65,691</w:t>
            </w:r>
          </w:p>
        </w:tc>
      </w:tr>
      <w:tr>
        <w:trPr>
          <w:trHeight w:val="158"/>
        </w:trPr>
        <w:tc>
          <w:tcPr>
            <w:tcW w:w="1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of depreciation and</w:t>
            </w:r>
          </w:p>
        </w:tc>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68"/>
        </w:trPr>
        <w:tc>
          <w:tcPr>
            <w:tcW w:w="1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amortization)</w:t>
            </w: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5"/>
        </w:trPr>
        <w:tc>
          <w:tcPr>
            <w:tcW w:w="16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187"/>
        </w:trPr>
        <w:tc>
          <w:tcPr>
            <w:tcW w:w="16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Sales and marketing</w:t>
            </w:r>
          </w:p>
        </w:tc>
        <w:tc>
          <w:tcPr>
            <w:tcW w:w="22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Sales and marketing</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25,060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25,060</w:t>
            </w:r>
          </w:p>
        </w:tc>
      </w:tr>
      <w:tr>
        <w:trPr>
          <w:trHeight w:val="184"/>
        </w:trPr>
        <w:tc>
          <w:tcPr>
            <w:tcW w:w="1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Research and development</w:t>
            </w:r>
          </w:p>
        </w:tc>
        <w:tc>
          <w:tcPr>
            <w:tcW w:w="22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Research and development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13,582</w:t>
            </w:r>
          </w:p>
        </w:tc>
      </w:tr>
      <w:tr>
        <w:trPr>
          <w:trHeight w:val="23"/>
        </w:trPr>
        <w:tc>
          <w:tcPr>
            <w:tcW w:w="1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4"/>
        </w:trPr>
        <w:tc>
          <w:tcPr>
            <w:tcW w:w="1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29,039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(l)</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29,129</w:t>
            </w:r>
          </w:p>
        </w:tc>
      </w:tr>
      <w:tr>
        <w:trPr>
          <w:trHeight w:val="157"/>
        </w:trPr>
        <w:tc>
          <w:tcPr>
            <w:tcW w:w="162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75"/>
        </w:trPr>
        <w:tc>
          <w:tcPr>
            <w:tcW w:w="1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Depreciation and</w:t>
            </w:r>
          </w:p>
        </w:tc>
        <w:tc>
          <w:tcPr>
            <w:tcW w:w="21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12,095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(12,095)</w:t>
            </w:r>
          </w:p>
        </w:tc>
        <w:tc>
          <w:tcPr>
            <w:tcW w:w="100" w:type="dxa"/>
            <w:vAlign w:val="bottom"/>
          </w:tcPr>
          <w:p>
            <w:pPr>
              <w:spacing w:after="0"/>
              <w:rPr>
                <w:sz w:val="15"/>
                <w:szCs w:val="15"/>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(l)</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1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amortization</w:t>
            </w: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5"/>
        </w:trPr>
        <w:tc>
          <w:tcPr>
            <w:tcW w:w="16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184"/>
        </w:trPr>
        <w:tc>
          <w:tcPr>
            <w:tcW w:w="1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3,205</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(l)</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3,205</w:t>
            </w:r>
          </w:p>
        </w:tc>
      </w:tr>
      <w:tr>
        <w:trPr>
          <w:trHeight w:val="157"/>
        </w:trPr>
        <w:tc>
          <w:tcPr>
            <w:tcW w:w="162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84"/>
        </w:trPr>
        <w:tc>
          <w:tcPr>
            <w:tcW w:w="1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2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Restructuring</w:t>
            </w:r>
          </w:p>
        </w:tc>
        <w:tc>
          <w:tcPr>
            <w:tcW w:w="1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3"/>
        </w:trPr>
        <w:tc>
          <w:tcPr>
            <w:tcW w:w="1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7"/>
        </w:trPr>
        <w:tc>
          <w:tcPr>
            <w:tcW w:w="16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Interest expense, net</w:t>
            </w:r>
          </w:p>
        </w:tc>
        <w:tc>
          <w:tcPr>
            <w:tcW w:w="22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Interest expense</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(16,782)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(16,782)</w:t>
            </w:r>
          </w:p>
        </w:tc>
      </w:tr>
      <w:tr>
        <w:trPr>
          <w:trHeight w:val="184"/>
        </w:trPr>
        <w:tc>
          <w:tcPr>
            <w:tcW w:w="1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Other income (expense), net</w:t>
            </w:r>
          </w:p>
        </w:tc>
        <w:tc>
          <w:tcPr>
            <w:tcW w:w="22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Other income (expense), net</w:t>
            </w: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(5,759)</w:t>
            </w:r>
          </w:p>
        </w:tc>
      </w:tr>
      <w:tr>
        <w:trPr>
          <w:trHeight w:val="23"/>
        </w:trPr>
        <w:tc>
          <w:tcPr>
            <w:tcW w:w="1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7"/>
        </w:trPr>
        <w:tc>
          <w:tcPr>
            <w:tcW w:w="16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Income tax expense</w:t>
            </w:r>
          </w:p>
        </w:tc>
        <w:tc>
          <w:tcPr>
            <w:tcW w:w="22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w:t>
            </w:r>
          </w:p>
        </w:tc>
      </w:tr>
      <w:tr>
        <w:trPr>
          <w:trHeight w:val="175"/>
        </w:trPr>
        <w:tc>
          <w:tcPr>
            <w:tcW w:w="16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22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Cumulative dividends attributable to</w:t>
            </w:r>
          </w:p>
        </w:tc>
        <w:tc>
          <w:tcPr>
            <w:tcW w:w="10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1620" w:type="dxa"/>
            <w:vAlign w:val="bottom"/>
          </w:tcPr>
          <w:p>
            <w:pPr>
              <w:spacing w:after="0"/>
              <w:rPr>
                <w:sz w:val="14"/>
                <w:szCs w:val="14"/>
                <w:color w:val="auto"/>
              </w:rPr>
            </w:pPr>
          </w:p>
        </w:tc>
        <w:tc>
          <w:tcPr>
            <w:tcW w:w="22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Series A Preferred Stock</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316" w:lineRule="exact"/>
        <w:rPr>
          <w:sz w:val="20"/>
          <w:szCs w:val="20"/>
          <w:color w:val="auto"/>
        </w:rPr>
      </w:pPr>
    </w:p>
    <w:p>
      <w:pPr>
        <w:ind w:left="580" w:right="20" w:hanging="290"/>
        <w:spacing w:after="0" w:line="279" w:lineRule="auto"/>
        <w:tabs>
          <w:tab w:leader="none" w:pos="572"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reclassification of amortization of intangible assets to a separate line item, amortization of technology intangible assets to cost of revenues, and depreciation expense for property and equipment to general and administrative.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 to the table below for a summary of identified reclassification adjustments made to present Amelia’s consolidated statement of operations for the six months ended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30, 2024, to conform presentation to that of SoundHound (in thousands):</w:t>
      </w:r>
    </w:p>
    <w:p>
      <w:pPr>
        <w:spacing w:after="0" w:line="200" w:lineRule="exact"/>
        <w:rPr>
          <w:sz w:val="20"/>
          <w:szCs w:val="20"/>
          <w:color w:val="auto"/>
        </w:rPr>
      </w:pPr>
    </w:p>
    <w:p>
      <w:pPr>
        <w:spacing w:after="0" w:line="221" w:lineRule="exact"/>
        <w:rPr>
          <w:sz w:val="20"/>
          <w:szCs w:val="20"/>
          <w:color w:val="auto"/>
        </w:rPr>
      </w:pPr>
    </w:p>
    <w:tbl>
      <w:tblPr>
        <w:tblLayout w:type="fixed"/>
        <w:tblInd w:w="1000" w:type="dxa"/>
        <w:tblCellMar>
          <w:top w:w="0" w:type="dxa"/>
          <w:left w:w="0" w:type="dxa"/>
          <w:bottom w:w="0" w:type="dxa"/>
          <w:right w:w="0" w:type="dxa"/>
        </w:tblCellMar>
      </w:tblPr>
      <w:tr>
        <w:trPr>
          <w:trHeight w:val="146"/>
        </w:trPr>
        <w:tc>
          <w:tcPr>
            <w:tcW w:w="1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Amelia Consolidated</w:t>
            </w:r>
          </w:p>
        </w:tc>
        <w:tc>
          <w:tcPr>
            <w:tcW w:w="2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Amelia Historical</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34"/>
        </w:trPr>
        <w:tc>
          <w:tcPr>
            <w:tcW w:w="1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Statement of Operations Line</w:t>
            </w:r>
          </w:p>
        </w:tc>
        <w:tc>
          <w:tcPr>
            <w:tcW w:w="23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SoundHound Consolidated Statement of</w:t>
            </w:r>
          </w:p>
        </w:tc>
        <w:tc>
          <w:tcPr>
            <w:tcW w:w="100" w:type="dxa"/>
            <w:vAlign w:val="bottom"/>
          </w:tcPr>
          <w:p>
            <w:pPr>
              <w:spacing w:after="0"/>
              <w:rPr>
                <w:sz w:val="11"/>
                <w:szCs w:val="11"/>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Consolidated Statement</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Amelia Historical</w:t>
            </w:r>
          </w:p>
        </w:tc>
      </w:tr>
      <w:tr>
        <w:trPr>
          <w:trHeight w:val="169"/>
        </w:trPr>
        <w:tc>
          <w:tcPr>
            <w:tcW w:w="1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Items</w:t>
            </w:r>
          </w:p>
        </w:tc>
        <w:tc>
          <w:tcPr>
            <w:tcW w:w="2380" w:type="dxa"/>
            <w:vAlign w:val="bottom"/>
            <w:gridSpan w:val="2"/>
          </w:tcPr>
          <w:p>
            <w:pPr>
              <w:ind w:left="520"/>
              <w:spacing w:after="0"/>
              <w:rPr>
                <w:sz w:val="20"/>
                <w:szCs w:val="20"/>
                <w:color w:val="auto"/>
              </w:rPr>
            </w:pPr>
            <w:r>
              <w:rPr>
                <w:rFonts w:ascii="Times New Roman" w:cs="Times New Roman" w:eastAsia="Times New Roman" w:hAnsi="Times New Roman"/>
                <w:sz w:val="11"/>
                <w:szCs w:val="11"/>
                <w:b w:val="1"/>
                <w:bCs w:val="1"/>
                <w:color w:val="auto"/>
              </w:rPr>
              <w:t>Operations Line Items</w:t>
            </w:r>
          </w:p>
        </w:tc>
        <w:tc>
          <w:tcPr>
            <w:tcW w:w="100" w:type="dxa"/>
            <w:vAlign w:val="bottom"/>
          </w:tcPr>
          <w:p>
            <w:pPr>
              <w:spacing w:after="0"/>
              <w:rPr>
                <w:sz w:val="14"/>
                <w:szCs w:val="14"/>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of Operations</w:t>
            </w:r>
          </w:p>
        </w:tc>
        <w:tc>
          <w:tcPr>
            <w:tcW w:w="16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Reclassification</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Note 2</w:t>
            </w:r>
          </w:p>
        </w:tc>
        <w:tc>
          <w:tcPr>
            <w:tcW w:w="80" w:type="dxa"/>
            <w:vAlign w:val="bottom"/>
          </w:tcPr>
          <w:p>
            <w:pPr>
              <w:spacing w:after="0"/>
              <w:rPr>
                <w:sz w:val="14"/>
                <w:szCs w:val="14"/>
                <w:color w:val="auto"/>
              </w:rPr>
            </w:pP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After Reclassification</w:t>
            </w:r>
          </w:p>
        </w:tc>
      </w:tr>
      <w:tr>
        <w:trPr>
          <w:trHeight w:val="73"/>
        </w:trPr>
        <w:tc>
          <w:tcPr>
            <w:tcW w:w="1640" w:type="dxa"/>
            <w:vAlign w:val="bottom"/>
            <w:tcBorders>
              <w:top w:val="single" w:sz="8" w:color="auto"/>
            </w:tcBorders>
          </w:tcPr>
          <w:p>
            <w:pPr>
              <w:spacing w:after="0"/>
              <w:rPr>
                <w:sz w:val="6"/>
                <w:szCs w:val="6"/>
                <w:color w:val="auto"/>
              </w:rPr>
            </w:pPr>
          </w:p>
        </w:tc>
        <w:tc>
          <w:tcPr>
            <w:tcW w:w="212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3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06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tcPr>
          <w:p>
            <w:pPr>
              <w:spacing w:after="0"/>
              <w:rPr>
                <w:sz w:val="6"/>
                <w:szCs w:val="6"/>
                <w:color w:val="auto"/>
              </w:rPr>
            </w:pPr>
          </w:p>
        </w:tc>
      </w:tr>
      <w:tr>
        <w:trPr>
          <w:trHeight w:val="187"/>
        </w:trPr>
        <w:tc>
          <w:tcPr>
            <w:tcW w:w="1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Revenue</w:t>
            </w:r>
          </w:p>
        </w:tc>
        <w:tc>
          <w:tcPr>
            <w:tcW w:w="23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45,332</w:t>
            </w: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45,332</w:t>
            </w:r>
          </w:p>
        </w:tc>
      </w:tr>
      <w:tr>
        <w:trPr>
          <w:trHeight w:val="184"/>
        </w:trPr>
        <w:tc>
          <w:tcPr>
            <w:tcW w:w="1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Cost of revenues (exclusive</w:t>
            </w:r>
          </w:p>
        </w:tc>
        <w:tc>
          <w:tcPr>
            <w:tcW w:w="23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Cost of revenues</w:t>
            </w:r>
          </w:p>
        </w:tc>
        <w:tc>
          <w:tcPr>
            <w:tcW w:w="100" w:type="dxa"/>
            <w:vAlign w:val="bottom"/>
          </w:tcPr>
          <w:p>
            <w:pPr>
              <w:spacing w:after="0"/>
              <w:rPr>
                <w:sz w:val="16"/>
                <w:szCs w:val="16"/>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25,004</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4,400</w:t>
            </w:r>
          </w:p>
        </w:tc>
        <w:tc>
          <w:tcPr>
            <w:tcW w:w="280" w:type="dxa"/>
            <w:vAlign w:val="bottom"/>
          </w:tcPr>
          <w:p>
            <w:pPr>
              <w:spacing w:after="0"/>
              <w:rPr>
                <w:sz w:val="16"/>
                <w:szCs w:val="16"/>
                <w:color w:val="auto"/>
              </w:rPr>
            </w:pP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(m)</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29,004</w:t>
            </w:r>
          </w:p>
        </w:tc>
      </w:tr>
      <w:tr>
        <w:trPr>
          <w:trHeight w:val="161"/>
        </w:trPr>
        <w:tc>
          <w:tcPr>
            <w:tcW w:w="1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of depreciation and</w:t>
            </w:r>
          </w:p>
        </w:tc>
        <w:tc>
          <w:tcPr>
            <w:tcW w:w="2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8"/>
        </w:trPr>
        <w:tc>
          <w:tcPr>
            <w:tcW w:w="1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amortization)</w:t>
            </w:r>
          </w:p>
        </w:tc>
        <w:tc>
          <w:tcPr>
            <w:tcW w:w="2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3"/>
        </w:trPr>
        <w:tc>
          <w:tcPr>
            <w:tcW w:w="1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7"/>
        </w:trPr>
        <w:tc>
          <w:tcPr>
            <w:tcW w:w="1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Sales and marketing</w:t>
            </w:r>
          </w:p>
        </w:tc>
        <w:tc>
          <w:tcPr>
            <w:tcW w:w="23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Sales and marketing</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11,587</w:t>
            </w: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11,587</w:t>
            </w:r>
          </w:p>
        </w:tc>
      </w:tr>
      <w:tr>
        <w:trPr>
          <w:trHeight w:val="184"/>
        </w:trPr>
        <w:tc>
          <w:tcPr>
            <w:tcW w:w="1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Research and development</w:t>
            </w:r>
          </w:p>
        </w:tc>
        <w:tc>
          <w:tcPr>
            <w:tcW w:w="23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Research and development</w:t>
            </w:r>
          </w:p>
        </w:tc>
        <w:tc>
          <w:tcPr>
            <w:tcW w:w="100" w:type="dxa"/>
            <w:vAlign w:val="bottom"/>
          </w:tcPr>
          <w:p>
            <w:pPr>
              <w:spacing w:after="0"/>
              <w:rPr>
                <w:sz w:val="16"/>
                <w:szCs w:val="16"/>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5,893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5,893</w:t>
            </w:r>
          </w:p>
        </w:tc>
      </w:tr>
      <w:tr>
        <w:trPr>
          <w:trHeight w:val="23"/>
        </w:trPr>
        <w:tc>
          <w:tcPr>
            <w:tcW w:w="1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4"/>
        </w:trPr>
        <w:tc>
          <w:tcPr>
            <w:tcW w:w="1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12,342</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2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(m)</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12,414</w:t>
            </w:r>
          </w:p>
        </w:tc>
      </w:tr>
      <w:tr>
        <w:trPr>
          <w:trHeight w:val="157"/>
        </w:trPr>
        <w:tc>
          <w:tcPr>
            <w:tcW w:w="164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84"/>
        </w:trPr>
        <w:tc>
          <w:tcPr>
            <w:tcW w:w="1640" w:type="dxa"/>
            <w:vAlign w:val="bottom"/>
          </w:tcPr>
          <w:p>
            <w:pPr>
              <w:ind w:left="80"/>
              <w:spacing w:after="0"/>
              <w:rPr>
                <w:sz w:val="20"/>
                <w:szCs w:val="20"/>
                <w:color w:val="auto"/>
              </w:rPr>
            </w:pPr>
            <w:r>
              <w:rPr>
                <w:rFonts w:ascii="Times New Roman" w:cs="Times New Roman" w:eastAsia="Times New Roman" w:hAnsi="Times New Roman"/>
                <w:sz w:val="13"/>
                <w:szCs w:val="13"/>
                <w:color w:val="FF0000"/>
              </w:rPr>
              <w:t>-</w:t>
            </w:r>
          </w:p>
        </w:tc>
        <w:tc>
          <w:tcPr>
            <w:tcW w:w="23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Change in fair value of contingent</w:t>
            </w:r>
          </w:p>
        </w:tc>
        <w:tc>
          <w:tcPr>
            <w:tcW w:w="100" w:type="dxa"/>
            <w:vAlign w:val="bottom"/>
          </w:tcPr>
          <w:p>
            <w:pPr>
              <w:spacing w:after="0"/>
              <w:rPr>
                <w:sz w:val="16"/>
                <w:szCs w:val="16"/>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1"/>
        </w:trPr>
        <w:tc>
          <w:tcPr>
            <w:tcW w:w="1640" w:type="dxa"/>
            <w:vAlign w:val="bottom"/>
          </w:tcPr>
          <w:p>
            <w:pPr>
              <w:spacing w:after="0"/>
              <w:rPr>
                <w:sz w:val="14"/>
                <w:szCs w:val="14"/>
                <w:color w:val="auto"/>
              </w:rPr>
            </w:pPr>
          </w:p>
        </w:tc>
        <w:tc>
          <w:tcPr>
            <w:tcW w:w="23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acquisition liabilities</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3"/>
        </w:trPr>
        <w:tc>
          <w:tcPr>
            <w:tcW w:w="1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4"/>
        </w:trPr>
        <w:tc>
          <w:tcPr>
            <w:tcW w:w="1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Depreciation and</w:t>
            </w:r>
          </w:p>
        </w:tc>
        <w:tc>
          <w:tcPr>
            <w:tcW w:w="2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FF0000"/>
              </w:rPr>
              <w:t>-</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6,073</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(6,073)</w:t>
            </w:r>
          </w:p>
        </w:tc>
        <w:tc>
          <w:tcPr>
            <w:tcW w:w="2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(m)</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4"/>
        </w:trPr>
        <w:tc>
          <w:tcPr>
            <w:tcW w:w="1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amortization</w:t>
            </w:r>
          </w:p>
        </w:tc>
        <w:tc>
          <w:tcPr>
            <w:tcW w:w="2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r>
      <w:tr>
        <w:trPr>
          <w:trHeight w:val="184"/>
        </w:trPr>
        <w:tc>
          <w:tcPr>
            <w:tcW w:w="1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3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100" w:type="dxa"/>
            <w:vAlign w:val="bottom"/>
          </w:tcPr>
          <w:p>
            <w:pPr>
              <w:spacing w:after="0"/>
              <w:rPr>
                <w:sz w:val="16"/>
                <w:szCs w:val="16"/>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1,601</w:t>
            </w:r>
          </w:p>
        </w:tc>
        <w:tc>
          <w:tcPr>
            <w:tcW w:w="280" w:type="dxa"/>
            <w:vAlign w:val="bottom"/>
          </w:tcPr>
          <w:p>
            <w:pPr>
              <w:spacing w:after="0"/>
              <w:rPr>
                <w:sz w:val="16"/>
                <w:szCs w:val="16"/>
                <w:color w:val="auto"/>
              </w:rPr>
            </w:pP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(m)</w:t>
            </w: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1,601</w:t>
            </w:r>
          </w:p>
        </w:tc>
      </w:tr>
      <w:tr>
        <w:trPr>
          <w:trHeight w:val="157"/>
        </w:trPr>
        <w:tc>
          <w:tcPr>
            <w:tcW w:w="16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7"/>
        </w:trPr>
        <w:tc>
          <w:tcPr>
            <w:tcW w:w="1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3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Loss on early extinguishment of debt</w:t>
            </w:r>
          </w:p>
        </w:tc>
        <w:tc>
          <w:tcPr>
            <w:tcW w:w="1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1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Interest expense</w:t>
            </w:r>
          </w:p>
        </w:tc>
        <w:tc>
          <w:tcPr>
            <w:tcW w:w="23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Interest expense</w:t>
            </w:r>
          </w:p>
        </w:tc>
        <w:tc>
          <w:tcPr>
            <w:tcW w:w="100" w:type="dxa"/>
            <w:vAlign w:val="bottom"/>
          </w:tcPr>
          <w:p>
            <w:pPr>
              <w:spacing w:after="0"/>
              <w:rPr>
                <w:sz w:val="16"/>
                <w:szCs w:val="16"/>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(10,644)</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(10,644)</w:t>
            </w:r>
          </w:p>
        </w:tc>
      </w:tr>
      <w:tr>
        <w:trPr>
          <w:trHeight w:val="23"/>
        </w:trPr>
        <w:tc>
          <w:tcPr>
            <w:tcW w:w="1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7"/>
        </w:trPr>
        <w:tc>
          <w:tcPr>
            <w:tcW w:w="1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income (expense), net</w:t>
            </w:r>
          </w:p>
        </w:tc>
        <w:tc>
          <w:tcPr>
            <w:tcW w:w="23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income (expense), net</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6,828</w:t>
            </w: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6,828</w:t>
            </w:r>
          </w:p>
        </w:tc>
      </w:tr>
      <w:tr>
        <w:trPr>
          <w:trHeight w:val="184"/>
        </w:trPr>
        <w:tc>
          <w:tcPr>
            <w:tcW w:w="1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Income tax expense</w:t>
            </w:r>
          </w:p>
        </w:tc>
        <w:tc>
          <w:tcPr>
            <w:tcW w:w="23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100" w:type="dxa"/>
            <w:vAlign w:val="bottom"/>
          </w:tcPr>
          <w:p>
            <w:pPr>
              <w:spacing w:after="0"/>
              <w:rPr>
                <w:sz w:val="16"/>
                <w:szCs w:val="16"/>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r>
      <w:tr>
        <w:trPr>
          <w:trHeight w:val="23"/>
        </w:trPr>
        <w:tc>
          <w:tcPr>
            <w:tcW w:w="1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4"/>
        </w:trPr>
        <w:tc>
          <w:tcPr>
            <w:tcW w:w="1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2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Cumulative dividends attributable to</w:t>
            </w: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1"/>
        </w:trPr>
        <w:tc>
          <w:tcPr>
            <w:tcW w:w="164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Series A Preferred Stock</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3"/>
        </w:trPr>
        <w:tc>
          <w:tcPr>
            <w:tcW w:w="164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r>
    </w:tbl>
    <w:p>
      <w:pPr>
        <w:spacing w:after="0" w:line="293" w:lineRule="exact"/>
        <w:rPr>
          <w:sz w:val="20"/>
          <w:szCs w:val="20"/>
          <w:color w:val="auto"/>
        </w:rPr>
      </w:pPr>
    </w:p>
    <w:p>
      <w:pPr>
        <w:ind w:left="580" w:right="20" w:hanging="290"/>
        <w:spacing w:after="0" w:line="262" w:lineRule="auto"/>
        <w:tabs>
          <w:tab w:leader="none" w:pos="572"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the reclassification of amortization of intangible assets to a separate line item, amortization of technology intangible assets to cost of revenues, and depreciation expense for property and equipment to general and administrative.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Preliminary Purchase Price Allocation</w:t>
      </w:r>
    </w:p>
    <w:p>
      <w:pPr>
        <w:spacing w:after="0" w:line="2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The preliminary purchase consideration of $103.9 million is allocated to Amelia’s tangible and intangible assets acquired and liabilities assumed based on preliminary estimated fair values. The fair value assessments are preliminary and are based upon available information and certain assumptions, which SoundHound believes are reasonable under the circumstances. Actual results may differ materially from the assumptions within the unaudited pro forma condensed combined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purposes of this unaudited pro forma condensed combined financial information, the preliminary calculation of the purchase consideration is as follows:</w:t>
      </w:r>
    </w:p>
    <w:p>
      <w:pPr>
        <w:spacing w:after="0" w:line="46" w:lineRule="exact"/>
        <w:rPr>
          <w:sz w:val="20"/>
          <w:szCs w:val="20"/>
          <w:color w:val="auto"/>
        </w:rPr>
      </w:pPr>
    </w:p>
    <w:tbl>
      <w:tblPr>
        <w:tblLayout w:type="fixed"/>
        <w:tblInd w:w="1240" w:type="dxa"/>
        <w:tblCellMar>
          <w:top w:w="0" w:type="dxa"/>
          <w:left w:w="0" w:type="dxa"/>
          <w:bottom w:w="0" w:type="dxa"/>
          <w:right w:w="0" w:type="dxa"/>
        </w:tblCellMar>
      </w:tblPr>
      <w:tr>
        <w:trPr>
          <w:trHeight w:val="213"/>
        </w:trPr>
        <w:tc>
          <w:tcPr>
            <w:tcW w:w="7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5"/>
        </w:trPr>
        <w:tc>
          <w:tcPr>
            <w:tcW w:w="7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consideration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15,291</w:t>
            </w:r>
          </w:p>
        </w:tc>
      </w:tr>
      <w:tr>
        <w:trPr>
          <w:trHeight w:val="211"/>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consideration in escrow</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8,628</w:t>
            </w:r>
          </w:p>
        </w:tc>
      </w:tr>
      <w:tr>
        <w:trPr>
          <w:trHeight w:val="21"/>
        </w:trPr>
        <w:tc>
          <w:tcPr>
            <w:tcW w:w="7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2"/>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consideration paid</w:t>
            </w:r>
          </w:p>
        </w:tc>
        <w:tc>
          <w:tcPr>
            <w:tcW w:w="1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8,407</w:t>
            </w:r>
          </w:p>
        </w:tc>
      </w:tr>
      <w:tr>
        <w:trPr>
          <w:trHeight w:val="211"/>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earnout consideration</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71,560</w:t>
            </w:r>
          </w:p>
        </w:tc>
      </w:tr>
      <w:tr>
        <w:trPr>
          <w:trHeight w:val="21"/>
        </w:trPr>
        <w:tc>
          <w:tcPr>
            <w:tcW w:w="7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4"/>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preliminary purchase consideration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103,886</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As outlined in the Purchase Agreement, shares of SoundHound Class A common stock were issued in a private placement in exchange for Amelia’s equity held by the former stockholders as of the Acquisition Date. The fair value of the 3,809,520 shares issued as equity consideration and the 2,149,530 shares issued and held in escrow was determined by multiplying the total 5,959,050 shares issued by the closing price of the Company’s common stock as of the Acquisition Date, subject to a discount for lack of marketability.</w:t>
      </w:r>
    </w:p>
    <w:p>
      <w:pPr>
        <w:spacing w:after="0" w:line="18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The preliminary purchase consideration also includes $8.4 million of seller transaction expenses paid in connection with the closing of the Acquisition. The seller transaction expenses paid by the Company included certain change in control payments, contractual settlements, and professional, consulting, and legal fees incurred by Amelia and its former shareholders.</w:t>
      </w:r>
    </w:p>
    <w:p>
      <w:pPr>
        <w:sectPr>
          <w:pgSz w:w="11900" w:h="16838" w:orient="portrait"/>
          <w:cols w:equalWidth="0" w:num="1">
            <w:col w:w="11260"/>
          </w:cols>
          <w:pgMar w:left="320" w:top="475" w:right="319" w:bottom="141" w:gutter="0" w:footer="0" w:header="0"/>
        </w:sectPr>
      </w:pPr>
    </w:p>
    <w:bookmarkStart w:id="69" w:name="page70"/>
    <w:bookmarkEnd w:id="69"/>
    <w:p>
      <w:pPr>
        <w:spacing w:after="0" w:line="58" w:lineRule="exact"/>
        <w:rPr>
          <w:sz w:val="20"/>
          <w:szCs w:val="20"/>
          <w:color w:val="auto"/>
        </w:rPr>
      </w:pPr>
    </w:p>
    <w:p>
      <w:pPr>
        <w:jc w:val="both"/>
        <w:ind w:left="2"/>
        <w:spacing w:after="0" w:line="259" w:lineRule="auto"/>
        <w:rPr>
          <w:sz w:val="20"/>
          <w:szCs w:val="20"/>
          <w:color w:val="auto"/>
        </w:rPr>
      </w:pPr>
      <w:r>
        <w:rPr>
          <w:rFonts w:ascii="Times New Roman" w:cs="Times New Roman" w:eastAsia="Times New Roman" w:hAnsi="Times New Roman"/>
          <w:sz w:val="16"/>
          <w:szCs w:val="16"/>
          <w:color w:val="auto"/>
        </w:rPr>
        <w:t>The Company also agreed to issue up to 16,822,429 shares of Class A common stock in additional consideration to the Sellers based on achievement of certain revenue targets in fiscal years 2025 (“First Earnout Period”) and 2026 (“Second Earnout Period”). During the First Earnout Period, if the Company’s total software revenue from the sale of Amelia’s products is between $55.0 million and $80.0 million, the base earnout payment will range from 5,607,476 shares to 11,214,953 shares of additional equity consideration. If the Company’s total software revenue from the sale of Amelia’s products is between $80.0 million and $100.0 million, the excess earnout payment will range from zero to 5,607,476 shares of additional equity consideration. If the Target does not earn the entire excess earnout payment of additional equity consideration during the First Earnout Period, the portion not earned may be earned in the Second Earnout Period subject to the same revenue metrics. The Earnout is accounted for as contingent consideration and will be accounted for as a liability, initially measured at fair value of $71.6 million with changes during each reporting period recognized in earnings. The fair value of the Earnout is based on a Monte Carlo simulation model, assessed as of the Acquisition Date.</w:t>
      </w:r>
    </w:p>
    <w:p>
      <w:pPr>
        <w:spacing w:after="0" w:line="192" w:lineRule="exact"/>
        <w:rPr>
          <w:sz w:val="20"/>
          <w:szCs w:val="20"/>
          <w:color w:val="auto"/>
        </w:rPr>
      </w:pPr>
    </w:p>
    <w:p>
      <w:pPr>
        <w:jc w:val="both"/>
        <w:ind w:left="2"/>
        <w:spacing w:after="0" w:line="289" w:lineRule="auto"/>
        <w:rPr>
          <w:sz w:val="20"/>
          <w:szCs w:val="20"/>
          <w:color w:val="auto"/>
        </w:rPr>
      </w:pPr>
      <w:r>
        <w:rPr>
          <w:rFonts w:ascii="Times New Roman" w:cs="Times New Roman" w:eastAsia="Times New Roman" w:hAnsi="Times New Roman"/>
          <w:sz w:val="16"/>
          <w:szCs w:val="16"/>
          <w:color w:val="auto"/>
        </w:rPr>
        <w:t>For purposes of the unaudited pro forma condensed combined financial statements, the following table sets forth a preliminary allocation of the estimated purchase consideration:</w:t>
      </w:r>
    </w:p>
    <w:p>
      <w:pPr>
        <w:spacing w:after="0" w:line="213" w:lineRule="exact"/>
        <w:rPr>
          <w:sz w:val="20"/>
          <w:szCs w:val="20"/>
          <w:color w:val="auto"/>
        </w:rPr>
      </w:pPr>
    </w:p>
    <w:tbl>
      <w:tblPr>
        <w:tblLayout w:type="fixed"/>
        <w:tblInd w:w="1262" w:type="dxa"/>
        <w:tblCellMar>
          <w:top w:w="0" w:type="dxa"/>
          <w:left w:w="0" w:type="dxa"/>
          <w:bottom w:w="0" w:type="dxa"/>
          <w:right w:w="0" w:type="dxa"/>
        </w:tblCellMar>
      </w:tblPr>
      <w:tr>
        <w:trPr>
          <w:trHeight w:val="213"/>
        </w:trPr>
        <w:tc>
          <w:tcPr>
            <w:tcW w:w="7220" w:type="dxa"/>
            <w:vAlign w:val="bottom"/>
          </w:tcPr>
          <w:p>
            <w:pPr>
              <w:spacing w:after="0"/>
              <w:rPr>
                <w:sz w:val="18"/>
                <w:szCs w:val="18"/>
                <w:color w:val="auto"/>
              </w:rPr>
            </w:pPr>
          </w:p>
        </w:tc>
        <w:tc>
          <w:tcPr>
            <w:tcW w:w="15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As of June 30, 2024</w:t>
            </w:r>
          </w:p>
        </w:tc>
      </w:tr>
      <w:tr>
        <w:trPr>
          <w:trHeight w:val="208"/>
        </w:trPr>
        <w:tc>
          <w:tcPr>
            <w:tcW w:w="7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11"/>
        </w:trPr>
        <w:tc>
          <w:tcPr>
            <w:tcW w:w="7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123"/>
        </w:trPr>
        <w:tc>
          <w:tcPr>
            <w:tcW w:w="7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r>
      <w:tr>
        <w:trPr>
          <w:trHeight w:val="175"/>
        </w:trPr>
        <w:tc>
          <w:tcPr>
            <w:tcW w:w="7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36"/>
        </w:trPr>
        <w:tc>
          <w:tcPr>
            <w:tcW w:w="7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preliminary purchase consideration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103,886</w:t>
            </w:r>
          </w:p>
        </w:tc>
      </w:tr>
      <w:tr>
        <w:trPr>
          <w:trHeight w:val="195"/>
        </w:trPr>
        <w:tc>
          <w:tcPr>
            <w:tcW w:w="7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24"/>
        </w:trPr>
        <w:tc>
          <w:tcPr>
            <w:tcW w:w="7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Assets</w:t>
            </w: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19"/>
        </w:trPr>
        <w:tc>
          <w:tcPr>
            <w:tcW w:w="7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2,717</w:t>
            </w:r>
          </w:p>
        </w:tc>
      </w:tr>
      <w:tr>
        <w:trPr>
          <w:trHeight w:val="37"/>
        </w:trPr>
        <w:tc>
          <w:tcPr>
            <w:tcW w:w="7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6"/>
        </w:trPr>
        <w:tc>
          <w:tcPr>
            <w:tcW w:w="7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10,520</w:t>
            </w:r>
          </w:p>
        </w:tc>
      </w:tr>
      <w:tr>
        <w:trPr>
          <w:trHeight w:val="219"/>
        </w:trPr>
        <w:tc>
          <w:tcPr>
            <w:tcW w:w="7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Contract assets and unbilled receivables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3,259</w:t>
            </w:r>
          </w:p>
        </w:tc>
      </w:tr>
      <w:tr>
        <w:trPr>
          <w:trHeight w:val="37"/>
        </w:trPr>
        <w:tc>
          <w:tcPr>
            <w:tcW w:w="7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6"/>
        </w:trPr>
        <w:tc>
          <w:tcPr>
            <w:tcW w:w="7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4,050</w:t>
            </w:r>
          </w:p>
        </w:tc>
      </w:tr>
      <w:tr>
        <w:trPr>
          <w:trHeight w:val="219"/>
        </w:trPr>
        <w:tc>
          <w:tcPr>
            <w:tcW w:w="7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Right-of-use assets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37"/>
        </w:trPr>
        <w:tc>
          <w:tcPr>
            <w:tcW w:w="7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6"/>
        </w:trPr>
        <w:tc>
          <w:tcPr>
            <w:tcW w:w="7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19"/>
        </w:trPr>
        <w:tc>
          <w:tcPr>
            <w:tcW w:w="7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Intangible assets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174,500</w:t>
            </w:r>
          </w:p>
        </w:tc>
      </w:tr>
      <w:tr>
        <w:trPr>
          <w:trHeight w:val="37"/>
        </w:trPr>
        <w:tc>
          <w:tcPr>
            <w:tcW w:w="7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6"/>
        </w:trPr>
        <w:tc>
          <w:tcPr>
            <w:tcW w:w="7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4,055</w:t>
            </w:r>
          </w:p>
        </w:tc>
      </w:tr>
      <w:tr>
        <w:trPr>
          <w:trHeight w:val="211"/>
        </w:trPr>
        <w:tc>
          <w:tcPr>
            <w:tcW w:w="72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199,707</w:t>
            </w:r>
          </w:p>
        </w:tc>
      </w:tr>
      <w:tr>
        <w:trPr>
          <w:trHeight w:val="232"/>
        </w:trPr>
        <w:tc>
          <w:tcPr>
            <w:tcW w:w="7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4"/>
        </w:trPr>
        <w:tc>
          <w:tcPr>
            <w:tcW w:w="7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Liabilities</w:t>
            </w: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19"/>
        </w:trPr>
        <w:tc>
          <w:tcPr>
            <w:tcW w:w="7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12,312</w:t>
            </w:r>
          </w:p>
        </w:tc>
      </w:tr>
      <w:tr>
        <w:trPr>
          <w:trHeight w:val="37"/>
        </w:trPr>
        <w:tc>
          <w:tcPr>
            <w:tcW w:w="7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6"/>
        </w:trPr>
        <w:tc>
          <w:tcPr>
            <w:tcW w:w="7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Accrued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13,998</w:t>
            </w:r>
          </w:p>
        </w:tc>
      </w:tr>
      <w:tr>
        <w:trPr>
          <w:trHeight w:val="219"/>
        </w:trPr>
        <w:tc>
          <w:tcPr>
            <w:tcW w:w="7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37"/>
        </w:trPr>
        <w:tc>
          <w:tcPr>
            <w:tcW w:w="7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6"/>
        </w:trPr>
        <w:tc>
          <w:tcPr>
            <w:tcW w:w="7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Income tax liability</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5,969</w:t>
            </w:r>
          </w:p>
        </w:tc>
      </w:tr>
      <w:tr>
        <w:trPr>
          <w:trHeight w:val="219"/>
        </w:trPr>
        <w:tc>
          <w:tcPr>
            <w:tcW w:w="7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Deferred tax liability</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12,327</w:t>
            </w:r>
          </w:p>
        </w:tc>
      </w:tr>
      <w:tr>
        <w:trPr>
          <w:trHeight w:val="37"/>
        </w:trPr>
        <w:tc>
          <w:tcPr>
            <w:tcW w:w="7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6"/>
        </w:trPr>
        <w:tc>
          <w:tcPr>
            <w:tcW w:w="7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32,513</w:t>
            </w:r>
          </w:p>
        </w:tc>
      </w:tr>
      <w:tr>
        <w:trPr>
          <w:trHeight w:val="219"/>
        </w:trPr>
        <w:tc>
          <w:tcPr>
            <w:tcW w:w="7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121,511</w:t>
            </w:r>
          </w:p>
        </w:tc>
      </w:tr>
      <w:tr>
        <w:trPr>
          <w:trHeight w:val="37"/>
        </w:trPr>
        <w:tc>
          <w:tcPr>
            <w:tcW w:w="72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8"/>
        </w:trPr>
        <w:tc>
          <w:tcPr>
            <w:tcW w:w="7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198,881</w:t>
            </w:r>
          </w:p>
        </w:tc>
      </w:tr>
      <w:tr>
        <w:trPr>
          <w:trHeight w:val="211"/>
        </w:trPr>
        <w:tc>
          <w:tcPr>
            <w:tcW w:w="72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Preliminary fair value of net assets acquired</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w:t>
            </w:r>
          </w:p>
        </w:tc>
      </w:tr>
      <w:tr>
        <w:trPr>
          <w:trHeight w:val="37"/>
        </w:trPr>
        <w:tc>
          <w:tcPr>
            <w:tcW w:w="72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8"/>
        </w:trPr>
        <w:tc>
          <w:tcPr>
            <w:tcW w:w="7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Estimated goodwill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103,060</w:t>
            </w:r>
          </w:p>
        </w:tc>
      </w:tr>
      <w:tr>
        <w:trPr>
          <w:trHeight w:val="20"/>
        </w:trPr>
        <w:tc>
          <w:tcPr>
            <w:tcW w:w="7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288"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6"/>
          <w:szCs w:val="16"/>
          <w:color w:val="auto"/>
        </w:rPr>
        <w:t>The preliminary estimate of fair values of assets acquired and liabilities assumed have been determined by management of SoundHound using publicly available benchmarking information and other assumptions. The purchase price allocation is preliminary and subject to change, as additional information becomes available and as additional analyses are performed. The final allocation could be materially different from the preliminary allocation used herein and may include (i) changes in fair value and allocations to intangibles assets as well as goodwill, and (ii) other changes to certain assets and liabilities.</w:t>
      </w:r>
    </w:p>
    <w:p>
      <w:pPr>
        <w:spacing w:after="0" w:line="200" w:lineRule="exact"/>
        <w:rPr>
          <w:sz w:val="20"/>
          <w:szCs w:val="20"/>
          <w:color w:val="auto"/>
        </w:rPr>
      </w:pPr>
    </w:p>
    <w:p>
      <w:pPr>
        <w:spacing w:after="0" w:line="22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 4: Transaction Accounting Adjustments to Unaudited Pro Forma Condensed Combined Balance Sheet – Amelia Acquisition</w:t>
      </w:r>
    </w:p>
    <w:p>
      <w:pPr>
        <w:spacing w:after="0" w:line="23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adjustments related to the acquisition of Amelia included in the unaudited pro forma condensed combined balance sheet as of June 30, 2024 are as follows:</w:t>
      </w:r>
    </w:p>
    <w:p>
      <w:pPr>
        <w:spacing w:after="0" w:line="231" w:lineRule="exact"/>
        <w:rPr>
          <w:sz w:val="20"/>
          <w:szCs w:val="20"/>
          <w:color w:val="auto"/>
        </w:rPr>
      </w:pPr>
    </w:p>
    <w:p>
      <w:pPr>
        <w:jc w:val="both"/>
        <w:ind w:left="442" w:hanging="442"/>
        <w:spacing w:after="0" w:line="266" w:lineRule="auto"/>
        <w:tabs>
          <w:tab w:leader="none" w:pos="4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total preliminary purchase consideration of $103.9 million, consisting of (i) the issuance of 3,809,520 shares of SoundHound Class A common stock with a fair value of $15.3 million as equity consideration, (ii) the issuance of 2,149,530 shares of SoundHound Class A common stock with a fair value of $8.6 million in escrow as of the Acquisition Date, (iii) the recognition of contingent consideration for the Earnout, which is initially measured at a fair value of $71.6 million, and (iv) the payment of seller transaction expenses of $8.4 million.</w:t>
      </w:r>
    </w:p>
    <w:p>
      <w:pPr>
        <w:spacing w:after="0" w:line="184" w:lineRule="exact"/>
        <w:rPr>
          <w:rFonts w:ascii="Times New Roman" w:cs="Times New Roman" w:eastAsia="Times New Roman" w:hAnsi="Times New Roman"/>
          <w:sz w:val="16"/>
          <w:szCs w:val="16"/>
          <w:color w:val="auto"/>
        </w:rPr>
      </w:pPr>
    </w:p>
    <w:p>
      <w:pPr>
        <w:ind w:left="442" w:hanging="442"/>
        <w:spacing w:after="0" w:line="289" w:lineRule="auto"/>
        <w:tabs>
          <w:tab w:leader="none" w:pos="43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preliminary purchase accounting adjustments to eliminate $2.2 million and $2.2 million from other current assets and other non-current assets, respectively, for deferred costs that were not assets as defined by ASC 805.</w:t>
      </w:r>
    </w:p>
    <w:p>
      <w:pPr>
        <w:spacing w:after="0" w:line="166" w:lineRule="exact"/>
        <w:rPr>
          <w:rFonts w:ascii="Times New Roman" w:cs="Times New Roman" w:eastAsia="Times New Roman" w:hAnsi="Times New Roman"/>
          <w:sz w:val="16"/>
          <w:szCs w:val="16"/>
          <w:color w:val="auto"/>
        </w:rPr>
      </w:pPr>
    </w:p>
    <w:p>
      <w:pPr>
        <w:jc w:val="both"/>
        <w:ind w:left="442" w:hanging="442"/>
        <w:spacing w:after="0" w:line="269" w:lineRule="auto"/>
        <w:tabs>
          <w:tab w:leader="none" w:pos="4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elimination of Amelia's historical goodwill and the recognition of the preliminary estimate of goodwill based on the preliminary purchase price allocation. The difference between the preliminary total merger consideration and preliminary identifiable net assets acquired is recorded as estimated goodwill. Goodwill recognized in the Acquisition is not expected to be deductible for tax purposes. Refer to Note 3 for further details related to the preliminary purchase price allocation.</w:t>
      </w:r>
    </w:p>
    <w:p>
      <w:pPr>
        <w:spacing w:after="0" w:line="200" w:lineRule="exact"/>
        <w:rPr>
          <w:sz w:val="20"/>
          <w:szCs w:val="20"/>
          <w:color w:val="auto"/>
        </w:rPr>
      </w:pPr>
    </w:p>
    <w:p>
      <w:pPr>
        <w:spacing w:after="0" w:line="228" w:lineRule="exact"/>
        <w:rPr>
          <w:sz w:val="20"/>
          <w:szCs w:val="20"/>
          <w:color w:val="auto"/>
        </w:rPr>
      </w:pPr>
    </w:p>
    <w:tbl>
      <w:tblPr>
        <w:tblLayout w:type="fixed"/>
        <w:tblInd w:w="1362"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As of June 30, 2024</w:t>
            </w:r>
          </w:p>
        </w:tc>
      </w:tr>
      <w:tr>
        <w:trPr>
          <w:trHeight w:val="37"/>
        </w:trPr>
        <w:tc>
          <w:tcPr>
            <w:tcW w:w="67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11"/>
        </w:trPr>
        <w:tc>
          <w:tcPr>
            <w:tcW w:w="6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37"/>
        </w:trPr>
        <w:tc>
          <w:tcPr>
            <w:tcW w:w="6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28"/>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Estimated goodwill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103,060</w:t>
            </w:r>
          </w:p>
        </w:tc>
      </w:tr>
      <w:tr>
        <w:trPr>
          <w:trHeight w:val="219"/>
        </w:trPr>
        <w:tc>
          <w:tcPr>
            <w:tcW w:w="6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Elimination of Amelia's historical goodwill</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(107,307)</w:t>
            </w:r>
          </w:p>
        </w:tc>
      </w:tr>
      <w:tr>
        <w:trPr>
          <w:trHeight w:val="37"/>
        </w:trPr>
        <w:tc>
          <w:tcPr>
            <w:tcW w:w="67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73"/>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adjustment to goodwill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left="442" w:hanging="442"/>
        <w:spacing w:after="0" w:line="289" w:lineRule="auto"/>
        <w:tabs>
          <w:tab w:leader="none" w:pos="43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elimination of Amelia's historical intangible assets and the recognition of the preliminary estimated fair value of intangible assets acquired in the Acquisition. The amortization related to these identifiable intangible assets is reflected in the unaudited pro forma condensed combined statements of operations, as</w:t>
      </w:r>
    </w:p>
    <w:p>
      <w:pPr>
        <w:sectPr>
          <w:pgSz w:w="11900" w:h="16896" w:orient="portrait"/>
          <w:cols w:equalWidth="0" w:num="1">
            <w:col w:w="11242"/>
          </w:cols>
          <w:pgMar w:left="318" w:top="123" w:right="339" w:bottom="0" w:gutter="0" w:footer="0" w:header="0"/>
        </w:sectPr>
      </w:pPr>
    </w:p>
    <w:bookmarkStart w:id="70" w:name="page71"/>
    <w:bookmarkEnd w:id="70"/>
    <w:p>
      <w:pPr>
        <w:ind w:left="442"/>
        <w:spacing w:after="0"/>
        <w:rPr>
          <w:sz w:val="20"/>
          <w:szCs w:val="20"/>
          <w:color w:val="auto"/>
        </w:rPr>
      </w:pPr>
      <w:r>
        <w:rPr>
          <w:rFonts w:ascii="Times New Roman" w:cs="Times New Roman" w:eastAsia="Times New Roman" w:hAnsi="Times New Roman"/>
          <w:sz w:val="16"/>
          <w:szCs w:val="16"/>
          <w:color w:val="auto"/>
        </w:rPr>
        <w:t>further described in Notes 6(a) and 6(f).</w:t>
      </w:r>
    </w:p>
    <w:p>
      <w:pPr>
        <w:spacing w:after="0" w:line="277" w:lineRule="exact"/>
        <w:rPr>
          <w:sz w:val="20"/>
          <w:szCs w:val="20"/>
          <w:color w:val="auto"/>
        </w:rPr>
      </w:pPr>
    </w:p>
    <w:tbl>
      <w:tblPr>
        <w:tblLayout w:type="fixed"/>
        <w:tblInd w:w="1362"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As of June 30, 2024</w:t>
            </w:r>
          </w:p>
        </w:tc>
      </w:tr>
      <w:tr>
        <w:trPr>
          <w:trHeight w:val="37"/>
        </w:trPr>
        <w:tc>
          <w:tcPr>
            <w:tcW w:w="67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11"/>
        </w:trPr>
        <w:tc>
          <w:tcPr>
            <w:tcW w:w="6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37"/>
        </w:trPr>
        <w:tc>
          <w:tcPr>
            <w:tcW w:w="6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28"/>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Fair value of intangible assets acquired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174,500</w:t>
            </w:r>
          </w:p>
        </w:tc>
      </w:tr>
      <w:tr>
        <w:trPr>
          <w:trHeight w:val="219"/>
        </w:trPr>
        <w:tc>
          <w:tcPr>
            <w:tcW w:w="6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Elimination of Amelia's historical intangible assets, net</w:t>
            </w:r>
          </w:p>
        </w:tc>
        <w:tc>
          <w:tcPr>
            <w:tcW w:w="160" w:type="dxa"/>
            <w:vAlign w:val="bottom"/>
          </w:tcPr>
          <w:p>
            <w:pPr>
              <w:spacing w:after="0"/>
              <w:rPr>
                <w:sz w:val="19"/>
                <w:szCs w:val="19"/>
                <w:color w:val="auto"/>
              </w:rPr>
            </w:pPr>
          </w:p>
        </w:tc>
        <w:tc>
          <w:tcPr>
            <w:tcW w:w="162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(47,971)</w:t>
            </w:r>
          </w:p>
        </w:tc>
      </w:tr>
      <w:tr>
        <w:trPr>
          <w:trHeight w:val="37"/>
        </w:trPr>
        <w:tc>
          <w:tcPr>
            <w:tcW w:w="67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73"/>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adjustment to intangible assets,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126,529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442"/>
        <w:spacing w:after="0" w:line="289" w:lineRule="auto"/>
        <w:rPr>
          <w:sz w:val="20"/>
          <w:szCs w:val="20"/>
          <w:color w:val="auto"/>
        </w:rPr>
      </w:pPr>
      <w:r>
        <w:rPr>
          <w:rFonts w:ascii="Times New Roman" w:cs="Times New Roman" w:eastAsia="Times New Roman" w:hAnsi="Times New Roman"/>
          <w:sz w:val="16"/>
          <w:szCs w:val="16"/>
          <w:color w:val="auto"/>
        </w:rPr>
        <w:t>SoundHound determined a preliminary fair value estimate of intangible assets resulting from the preliminary fair value allocation of the purchase price. The intangible assets include the following:</w:t>
      </w:r>
    </w:p>
    <w:p>
      <w:pPr>
        <w:spacing w:after="0" w:line="213" w:lineRule="exact"/>
        <w:rPr>
          <w:sz w:val="20"/>
          <w:szCs w:val="20"/>
          <w:color w:val="auto"/>
        </w:rPr>
      </w:pPr>
    </w:p>
    <w:tbl>
      <w:tblPr>
        <w:tblLayout w:type="fixed"/>
        <w:tblInd w:w="1362" w:type="dxa"/>
        <w:tblCellMar>
          <w:top w:w="0" w:type="dxa"/>
          <w:left w:w="0" w:type="dxa"/>
          <w:bottom w:w="0" w:type="dxa"/>
          <w:right w:w="0" w:type="dxa"/>
        </w:tblCellMar>
      </w:tblPr>
      <w:tr>
        <w:trPr>
          <w:trHeight w:val="213"/>
        </w:trPr>
        <w:tc>
          <w:tcPr>
            <w:tcW w:w="4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useful life</w:t>
            </w:r>
          </w:p>
        </w:tc>
        <w:tc>
          <w:tcPr>
            <w:tcW w:w="0" w:type="dxa"/>
            <w:vAlign w:val="bottom"/>
          </w:tcPr>
          <w:p>
            <w:pPr>
              <w:spacing w:after="0"/>
              <w:rPr>
                <w:sz w:val="1"/>
                <w:szCs w:val="1"/>
                <w:color w:val="auto"/>
              </w:rPr>
            </w:pPr>
          </w:p>
        </w:tc>
      </w:tr>
      <w:tr>
        <w:trPr>
          <w:trHeight w:val="134"/>
        </w:trPr>
        <w:tc>
          <w:tcPr>
            <w:tcW w:w="4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4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9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Intangible assets acquired</w:t>
            </w:r>
          </w:p>
        </w:tc>
        <w:tc>
          <w:tcPr>
            <w:tcW w:w="240" w:type="dxa"/>
            <w:vAlign w:val="bottom"/>
          </w:tcPr>
          <w:p>
            <w:pPr>
              <w:spacing w:after="0"/>
              <w:rPr>
                <w:sz w:val="18"/>
                <w:szCs w:val="18"/>
                <w:color w:val="auto"/>
              </w:rPr>
            </w:pPr>
          </w:p>
        </w:tc>
        <w:tc>
          <w:tcPr>
            <w:tcW w:w="154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0" w:type="dxa"/>
            <w:vAlign w:val="bottom"/>
          </w:tcPr>
          <w:p>
            <w:pPr>
              <w:spacing w:after="0"/>
              <w:rPr>
                <w:sz w:val="1"/>
                <w:szCs w:val="1"/>
                <w:color w:val="auto"/>
              </w:rPr>
            </w:pPr>
          </w:p>
        </w:tc>
      </w:tr>
      <w:tr>
        <w:trPr>
          <w:trHeight w:val="134"/>
        </w:trPr>
        <w:tc>
          <w:tcPr>
            <w:tcW w:w="49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4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Proprietary technology</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98,900</w:t>
            </w:r>
          </w:p>
        </w:tc>
        <w:tc>
          <w:tcPr>
            <w:tcW w:w="18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5</w:t>
            </w:r>
          </w:p>
        </w:tc>
        <w:tc>
          <w:tcPr>
            <w:tcW w:w="0" w:type="dxa"/>
            <w:vAlign w:val="bottom"/>
          </w:tcPr>
          <w:p>
            <w:pPr>
              <w:spacing w:after="0"/>
              <w:rPr>
                <w:sz w:val="1"/>
                <w:szCs w:val="1"/>
                <w:color w:val="auto"/>
              </w:rPr>
            </w:pPr>
          </w:p>
        </w:tc>
      </w:tr>
      <w:tr>
        <w:trPr>
          <w:trHeight w:val="219"/>
        </w:trPr>
        <w:tc>
          <w:tcPr>
            <w:tcW w:w="4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Customer relationships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68,600</w:t>
            </w:r>
          </w:p>
        </w:tc>
        <w:tc>
          <w:tcPr>
            <w:tcW w:w="18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5</w:t>
            </w:r>
          </w:p>
        </w:tc>
        <w:tc>
          <w:tcPr>
            <w:tcW w:w="0" w:type="dxa"/>
            <w:vAlign w:val="bottom"/>
          </w:tcPr>
          <w:p>
            <w:pPr>
              <w:spacing w:after="0"/>
              <w:rPr>
                <w:sz w:val="1"/>
                <w:szCs w:val="1"/>
                <w:color w:val="auto"/>
              </w:rPr>
            </w:pPr>
          </w:p>
        </w:tc>
      </w:tr>
      <w:tr>
        <w:trPr>
          <w:trHeight w:val="37"/>
        </w:trPr>
        <w:tc>
          <w:tcPr>
            <w:tcW w:w="4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Trade names</w:t>
            </w:r>
          </w:p>
        </w:tc>
        <w:tc>
          <w:tcPr>
            <w:tcW w:w="2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8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5</w:t>
            </w:r>
          </w:p>
        </w:tc>
        <w:tc>
          <w:tcPr>
            <w:tcW w:w="0" w:type="dxa"/>
            <w:vAlign w:val="bottom"/>
          </w:tcPr>
          <w:p>
            <w:pPr>
              <w:spacing w:after="0"/>
              <w:rPr>
                <w:sz w:val="1"/>
                <w:szCs w:val="1"/>
                <w:color w:val="auto"/>
              </w:rPr>
            </w:pPr>
          </w:p>
        </w:tc>
      </w:tr>
      <w:tr>
        <w:trPr>
          <w:trHeight w:val="211"/>
        </w:trPr>
        <w:tc>
          <w:tcPr>
            <w:tcW w:w="49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fair value of intangible assets acquired</w:t>
            </w: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174,500</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49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p>
      <w:pPr>
        <w:ind w:left="442" w:right="140" w:hanging="442"/>
        <w:spacing w:after="0" w:line="256" w:lineRule="auto"/>
        <w:tabs>
          <w:tab w:leader="none" w:pos="4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recognition of a $1.2 million indemnification asset, which represents the estimated fair value of shares as of the date of the closing expected to be returned to SoundHound from escrow for indemnified tax and specified matters pursuant to the contractual limitations of the Purchase Agreement, and an accrual of $0.2 million in income tax liability for indemnified tax matters assumed.</w:t>
      </w:r>
    </w:p>
    <w:p>
      <w:pPr>
        <w:spacing w:after="0" w:line="191" w:lineRule="exact"/>
        <w:rPr>
          <w:rFonts w:ascii="Times New Roman" w:cs="Times New Roman" w:eastAsia="Times New Roman" w:hAnsi="Times New Roman"/>
          <w:sz w:val="16"/>
          <w:szCs w:val="16"/>
          <w:color w:val="auto"/>
        </w:rPr>
      </w:pPr>
    </w:p>
    <w:p>
      <w:pPr>
        <w:ind w:left="442" w:right="20" w:hanging="442"/>
        <w:spacing w:after="0" w:line="289" w:lineRule="auto"/>
        <w:tabs>
          <w:tab w:leader="none" w:pos="434"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accrual of $1.3 million in accrued liabilities for estimated transaction costs incurred by Amelia subsequent to June 30, 2024, which is net of $8.4 million of seller transaction expenses paid by the Company as of the Acquisition Date.</w:t>
      </w:r>
    </w:p>
    <w:p>
      <w:pPr>
        <w:spacing w:after="0" w:line="166" w:lineRule="exact"/>
        <w:rPr>
          <w:rFonts w:ascii="Times New Roman" w:cs="Times New Roman" w:eastAsia="Times New Roman" w:hAnsi="Times New Roman"/>
          <w:sz w:val="16"/>
          <w:szCs w:val="16"/>
          <w:color w:val="auto"/>
        </w:rPr>
      </w:pPr>
    </w:p>
    <w:p>
      <w:pPr>
        <w:ind w:left="442" w:hanging="442"/>
        <w:spacing w:after="0"/>
        <w:tabs>
          <w:tab w:leader="none" w:pos="44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accrual of $4.6 million in accrued liabilities for estimated transaction costs incurred by SoundHound subsequent to June 30, 2024.</w:t>
      </w:r>
    </w:p>
    <w:p>
      <w:pPr>
        <w:spacing w:after="0" w:line="230" w:lineRule="exact"/>
        <w:rPr>
          <w:rFonts w:ascii="Times New Roman" w:cs="Times New Roman" w:eastAsia="Times New Roman" w:hAnsi="Times New Roman"/>
          <w:sz w:val="16"/>
          <w:szCs w:val="16"/>
          <w:color w:val="auto"/>
        </w:rPr>
      </w:pPr>
    </w:p>
    <w:p>
      <w:pPr>
        <w:jc w:val="both"/>
        <w:ind w:left="442" w:right="20" w:hanging="442"/>
        <w:spacing w:after="0" w:line="257" w:lineRule="auto"/>
        <w:tabs>
          <w:tab w:leader="none" w:pos="43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income tax-related adjustments. The adjustment to deferred tax liability of $0.03 million is associated with the incremental differences in the book and tax basis created from the preliminary purchase price allocation, primarily resulting from the preliminary fair value of intangible assets. SoundHound has made no adjustments to Amelia’s historical realizability of deferred tax assets and will continue to assess the realizability of such assets recognizing that realizability could change upon consolidation. This estimate of deferred taxes was determined based on SoundHound's expected ability to use Amelia's net operating loss carryforwards and other tax attributes in future periods as well as the excess of the fair values of the acquired assets and liabilities over the tax basis of the assets and liabilities to be acquired. In addition, under Sections 382 and 383 of the IRC, if a corporation undergoes an “ownership change,” generally defined as a greater than 50% change (by value) in its equity ownership over a three-year period, the corporation’s ability to use its pre-ownership change U.S. federal net operating loss carryforwards and other pre-ownership change U.S. federal tax attributes, such as research tax credits, to offset its post-ownership change income may be limited. We may experience ownership changes in the future because of subsequent shifts in our stock ownership. As a result, if we earn net taxable income, our ability to use our pre-ownership change net operating loss carryforwards and other tax attributes to offset U.S. federal and state taxable income may be subject to limitations, which could potentially result in increased future tax liability to us.</w:t>
      </w:r>
    </w:p>
    <w:p>
      <w:pPr>
        <w:spacing w:after="0" w:line="197" w:lineRule="exact"/>
        <w:rPr>
          <w:rFonts w:ascii="Times New Roman" w:cs="Times New Roman" w:eastAsia="Times New Roman" w:hAnsi="Times New Roman"/>
          <w:sz w:val="16"/>
          <w:szCs w:val="16"/>
          <w:color w:val="auto"/>
        </w:rPr>
      </w:pPr>
    </w:p>
    <w:p>
      <w:pPr>
        <w:ind w:left="442" w:right="20" w:hanging="442"/>
        <w:spacing w:after="0" w:line="264" w:lineRule="auto"/>
        <w:tabs>
          <w:tab w:leader="none" w:pos="43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elimination of Amelia’s historical $5.4 million warrant liability from other non-current liabilities following their extinguishment as of the Acquisition Date.</w:t>
      </w:r>
    </w:p>
    <w:p>
      <w:pPr>
        <w:spacing w:after="0" w:line="200" w:lineRule="exact"/>
        <w:rPr>
          <w:rFonts w:ascii="Times New Roman" w:cs="Times New Roman" w:eastAsia="Times New Roman" w:hAnsi="Times New Roman"/>
          <w:sz w:val="16"/>
          <w:szCs w:val="16"/>
          <w:color w:val="auto"/>
        </w:rPr>
      </w:pPr>
    </w:p>
    <w:p>
      <w:pPr>
        <w:spacing w:after="0" w:line="207" w:lineRule="exact"/>
        <w:rPr>
          <w:rFonts w:ascii="Times New Roman" w:cs="Times New Roman" w:eastAsia="Times New Roman" w:hAnsi="Times New Roman"/>
          <w:sz w:val="16"/>
          <w:szCs w:val="16"/>
          <w:color w:val="auto"/>
        </w:rPr>
      </w:pPr>
    </w:p>
    <w:p>
      <w:pPr>
        <w:jc w:val="both"/>
        <w:ind w:left="442" w:right="20" w:hanging="442"/>
        <w:spacing w:after="0" w:line="282" w:lineRule="auto"/>
        <w:tabs>
          <w:tab w:leader="none" w:pos="43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adjustments of $(26.0) million and $51.1 million to current portion of long-term debt and long-term debt, respectively, to adjust Amelia's historical balance to fair value the terms of the Amended Term Loan Facility. The remaining outstanding balance on the Amended Term Loan Facility has a maturity date of June 30, 2026.</w:t>
      </w:r>
    </w:p>
    <w:p>
      <w:pPr>
        <w:spacing w:after="0" w:line="360" w:lineRule="exact"/>
        <w:rPr>
          <w:rFonts w:ascii="Times New Roman" w:cs="Times New Roman" w:eastAsia="Times New Roman" w:hAnsi="Times New Roman"/>
          <w:sz w:val="16"/>
          <w:szCs w:val="16"/>
          <w:color w:val="auto"/>
        </w:rPr>
      </w:pPr>
    </w:p>
    <w:p>
      <w:pPr>
        <w:ind w:left="442" w:right="20" w:hanging="442"/>
        <w:spacing w:after="0" w:line="241" w:lineRule="auto"/>
        <w:tabs>
          <w:tab w:leader="none" w:pos="43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elimination of Amelia’s equity (deficit) balances, including common stock of $0.1 million, preferred stock of $267.7 million, accumulated deficit of $161.3 million, and accumulated other comprehensive income of $2.6 million.</w:t>
      </w:r>
    </w:p>
    <w:p>
      <w:pPr>
        <w:spacing w:after="0" w:line="200" w:lineRule="exact"/>
        <w:rPr>
          <w:sz w:val="20"/>
          <w:szCs w:val="20"/>
          <w:color w:val="auto"/>
        </w:rPr>
      </w:pPr>
    </w:p>
    <w:p>
      <w:pPr>
        <w:spacing w:after="0" w:line="20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 5: Transaction Accounting Adjustments to Unaudited Pro Forma Condensed Combined Balance Sheet – Debt Paydown</w:t>
      </w:r>
    </w:p>
    <w:p>
      <w:pPr>
        <w:spacing w:after="0" w:line="23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adjustments related to the Debt Paydown included in the unaudited pro forma condensed combined balance sheet as of June 30, 2024 are as follows:</w:t>
      </w:r>
    </w:p>
    <w:p>
      <w:pPr>
        <w:spacing w:after="0" w:line="231" w:lineRule="exact"/>
        <w:rPr>
          <w:sz w:val="20"/>
          <w:szCs w:val="20"/>
          <w:color w:val="auto"/>
        </w:rPr>
      </w:pPr>
    </w:p>
    <w:p>
      <w:pPr>
        <w:ind w:left="442" w:hanging="442"/>
        <w:spacing w:after="0"/>
        <w:tabs>
          <w:tab w:leader="none" w:pos="442"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paydown of $70.0 million on August 7, 2024, by the Company to repay a portion of the Amended Term Loan Facility.</w:t>
      </w:r>
    </w:p>
    <w:p>
      <w:pPr>
        <w:spacing w:after="0" w:line="230" w:lineRule="exact"/>
        <w:rPr>
          <w:rFonts w:ascii="Times New Roman" w:cs="Times New Roman" w:eastAsia="Times New Roman" w:hAnsi="Times New Roman"/>
          <w:sz w:val="16"/>
          <w:szCs w:val="16"/>
          <w:color w:val="auto"/>
        </w:rPr>
      </w:pPr>
    </w:p>
    <w:p>
      <w:pPr>
        <w:ind w:left="442" w:right="20" w:hanging="442"/>
        <w:spacing w:after="0" w:line="289" w:lineRule="auto"/>
        <w:tabs>
          <w:tab w:leader="none" w:pos="437"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issuance of 2,943,917 shares of SoundHound’s Class A common stock with a fair value of $11.8 million to the debtholders of the Amended Term Loan Facility as compensation in lieu of the associated exit fee and other related liabilities.</w:t>
      </w:r>
    </w:p>
    <w:p>
      <w:pPr>
        <w:spacing w:after="0" w:line="16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 6: Transaction Accounting Adjustments to the Unaudited Pro Forma Condensed Combined Statements of Operations – Amelia Acquisition</w:t>
      </w:r>
    </w:p>
    <w:p>
      <w:pPr>
        <w:spacing w:after="0" w:line="233" w:lineRule="exact"/>
        <w:rPr>
          <w:sz w:val="20"/>
          <w:szCs w:val="20"/>
          <w:color w:val="auto"/>
        </w:rPr>
      </w:pPr>
    </w:p>
    <w:p>
      <w:pPr>
        <w:ind w:left="2" w:right="20"/>
        <w:spacing w:after="0" w:line="289" w:lineRule="auto"/>
        <w:rPr>
          <w:sz w:val="20"/>
          <w:szCs w:val="20"/>
          <w:color w:val="auto"/>
        </w:rPr>
      </w:pPr>
      <w:r>
        <w:rPr>
          <w:rFonts w:ascii="Times New Roman" w:cs="Times New Roman" w:eastAsia="Times New Roman" w:hAnsi="Times New Roman"/>
          <w:sz w:val="16"/>
          <w:szCs w:val="16"/>
          <w:color w:val="auto"/>
        </w:rPr>
        <w:t>The adjustments related to the acquisition of Amelia included in the unaudited pro forma condensed combined statement of operations for the year ended December 31, 2023 are as follows:</w:t>
      </w:r>
    </w:p>
    <w:p>
      <w:pPr>
        <w:spacing w:after="0" w:line="166" w:lineRule="exact"/>
        <w:rPr>
          <w:sz w:val="20"/>
          <w:szCs w:val="20"/>
          <w:color w:val="auto"/>
        </w:rPr>
      </w:pPr>
    </w:p>
    <w:p>
      <w:pPr>
        <w:jc w:val="both"/>
        <w:ind w:left="442" w:right="20" w:hanging="442"/>
        <w:spacing w:after="0" w:line="271" w:lineRule="auto"/>
        <w:tabs>
          <w:tab w:leader="none" w:pos="4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elimination of Amelia historical amortization expense and the recognition of new amortization expense related to the acquired identifiable intangible assets based on their estimated fair value on the Acquisition Date. Amortization expense is calculated based on the estimated fair value of each of the identifiable intangible asset and the associated estimated useful lives.</w:t>
      </w:r>
    </w:p>
    <w:p>
      <w:pPr>
        <w:spacing w:after="0" w:line="181" w:lineRule="exact"/>
        <w:rPr>
          <w:rFonts w:ascii="Times New Roman" w:cs="Times New Roman" w:eastAsia="Times New Roman" w:hAnsi="Times New Roman"/>
          <w:sz w:val="16"/>
          <w:szCs w:val="16"/>
          <w:color w:val="auto"/>
        </w:rPr>
      </w:pPr>
    </w:p>
    <w:p>
      <w:pPr>
        <w:jc w:val="both"/>
        <w:ind w:left="442"/>
        <w:spacing w:after="0" w:line="27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SoundHound determined a preliminary fair value estimate of intangible assets based on a valuation conducted by a third-party valuation specialist. The acquired intangible assets have been amortized using a straight-line method based on their estimated useful lives as if the Acquisition had been completed on January 1, 2023. Refer to Note 4(d) for the corresponding pro forma adjusting entries to recognize the acquired intangible assets.</w:t>
      </w:r>
    </w:p>
    <w:p>
      <w:pPr>
        <w:sectPr>
          <w:pgSz w:w="11900" w:h="16838" w:orient="portrait"/>
          <w:cols w:equalWidth="0" w:num="1">
            <w:col w:w="11262"/>
          </w:cols>
          <w:pgMar w:left="318" w:top="123" w:right="319" w:bottom="604" w:gutter="0" w:footer="0" w:header="0"/>
        </w:sectPr>
      </w:pPr>
    </w:p>
    <w:bookmarkStart w:id="71" w:name="page72"/>
    <w:bookmarkEnd w:id="71"/>
    <w:tbl>
      <w:tblPr>
        <w:tblLayout w:type="fixed"/>
        <w:tblInd w:w="1322" w:type="dxa"/>
        <w:tblCellMar>
          <w:top w:w="0" w:type="dxa"/>
          <w:left w:w="0" w:type="dxa"/>
          <w:bottom w:w="0" w:type="dxa"/>
          <w:right w:w="0" w:type="dxa"/>
        </w:tblCellMar>
      </w:tblPr>
      <w:tr>
        <w:trPr>
          <w:trHeight w:val="207"/>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useful life</w:t>
            </w:r>
          </w:p>
        </w:tc>
      </w:tr>
      <w:tr>
        <w:trPr>
          <w:trHeight w:val="213"/>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5"/>
        </w:trPr>
        <w:tc>
          <w:tcPr>
            <w:tcW w:w="5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1"/>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r>
      <w:tr>
        <w:trPr>
          <w:trHeight w:val="37"/>
        </w:trPr>
        <w:tc>
          <w:tcPr>
            <w:tcW w:w="50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28"/>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Proprietary technology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19,780</w:t>
            </w:r>
          </w:p>
        </w:tc>
        <w:tc>
          <w:tcPr>
            <w:tcW w:w="18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5</w:t>
            </w:r>
          </w:p>
        </w:tc>
      </w:tr>
      <w:tr>
        <w:trPr>
          <w:trHeight w:val="219"/>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Customer relationships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13,720</w:t>
            </w:r>
          </w:p>
        </w:tc>
        <w:tc>
          <w:tcPr>
            <w:tcW w:w="18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5</w:t>
            </w:r>
          </w:p>
        </w:tc>
      </w:tr>
      <w:tr>
        <w:trPr>
          <w:trHeight w:val="37"/>
        </w:trPr>
        <w:tc>
          <w:tcPr>
            <w:tcW w:w="5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56"/>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Trade names</w:t>
            </w:r>
          </w:p>
        </w:tc>
        <w:tc>
          <w:tcPr>
            <w:tcW w:w="1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8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5</w:t>
            </w:r>
          </w:p>
        </w:tc>
      </w:tr>
      <w:tr>
        <w:trPr>
          <w:trHeight w:val="211"/>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amortization expense for acquired intangible assets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34,900</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7"/>
        </w:trPr>
        <w:tc>
          <w:tcPr>
            <w:tcW w:w="50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0"/>
        </w:trPr>
        <w:tc>
          <w:tcPr>
            <w:tcW w:w="5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335" w:lineRule="exact"/>
        <w:rPr>
          <w:sz w:val="20"/>
          <w:szCs w:val="20"/>
          <w:color w:val="auto"/>
        </w:rPr>
      </w:pPr>
    </w:p>
    <w:tbl>
      <w:tblPr>
        <w:tblLayout w:type="fixed"/>
        <w:tblInd w:w="1322" w:type="dxa"/>
        <w:tblCellMar>
          <w:top w:w="0" w:type="dxa"/>
          <w:left w:w="0" w:type="dxa"/>
          <w:bottom w:w="0" w:type="dxa"/>
          <w:right w:w="0" w:type="dxa"/>
        </w:tblCellMar>
      </w:tblPr>
      <w:tr>
        <w:trPr>
          <w:trHeight w:val="195"/>
        </w:trPr>
        <w:tc>
          <w:tcPr>
            <w:tcW w:w="6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For the year ended</w:t>
            </w:r>
          </w:p>
        </w:tc>
      </w:tr>
      <w:tr>
        <w:trPr>
          <w:trHeight w:val="213"/>
        </w:trPr>
        <w:tc>
          <w:tcPr>
            <w:tcW w:w="6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37"/>
        </w:trPr>
        <w:tc>
          <w:tcPr>
            <w:tcW w:w="68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11"/>
        </w:trPr>
        <w:tc>
          <w:tcPr>
            <w:tcW w:w="6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37"/>
        </w:trPr>
        <w:tc>
          <w:tcPr>
            <w:tcW w:w="68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28"/>
        </w:trPr>
        <w:tc>
          <w:tcPr>
            <w:tcW w:w="6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expense for acquired intangible assets (proprietary technology)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19,780</w:t>
            </w:r>
          </w:p>
        </w:tc>
      </w:tr>
      <w:tr>
        <w:trPr>
          <w:trHeight w:val="219"/>
        </w:trPr>
        <w:tc>
          <w:tcPr>
            <w:tcW w:w="6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Eliminate historical Amelia intangible asset amortization expense</w:t>
            </w:r>
          </w:p>
        </w:tc>
        <w:tc>
          <w:tcPr>
            <w:tcW w:w="160" w:type="dxa"/>
            <w:vAlign w:val="bottom"/>
          </w:tcPr>
          <w:p>
            <w:pPr>
              <w:spacing w:after="0"/>
              <w:rPr>
                <w:sz w:val="19"/>
                <w:szCs w:val="19"/>
                <w:color w:val="auto"/>
              </w:rPr>
            </w:pPr>
          </w:p>
        </w:tc>
        <w:tc>
          <w:tcPr>
            <w:tcW w:w="162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(8,800)</w:t>
            </w:r>
          </w:p>
        </w:tc>
      </w:tr>
      <w:tr>
        <w:trPr>
          <w:trHeight w:val="37"/>
        </w:trPr>
        <w:tc>
          <w:tcPr>
            <w:tcW w:w="68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73"/>
        </w:trPr>
        <w:tc>
          <w:tcPr>
            <w:tcW w:w="6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adjustment to cost of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10,980</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tbl>
      <w:tblPr>
        <w:tblLayout w:type="fixed"/>
        <w:tblInd w:w="1382" w:type="dxa"/>
        <w:tblCellMar>
          <w:top w:w="0" w:type="dxa"/>
          <w:left w:w="0" w:type="dxa"/>
          <w:bottom w:w="0" w:type="dxa"/>
          <w:right w:w="0" w:type="dxa"/>
        </w:tblCellMar>
      </w:tblPr>
      <w:tr>
        <w:trPr>
          <w:trHeight w:val="207"/>
        </w:trPr>
        <w:tc>
          <w:tcPr>
            <w:tcW w:w="6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For the year ended</w:t>
            </w:r>
          </w:p>
        </w:tc>
      </w:tr>
      <w:tr>
        <w:trPr>
          <w:trHeight w:val="213"/>
        </w:trPr>
        <w:tc>
          <w:tcPr>
            <w:tcW w:w="6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5"/>
        </w:trPr>
        <w:tc>
          <w:tcPr>
            <w:tcW w:w="6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1"/>
        </w:trPr>
        <w:tc>
          <w:tcPr>
            <w:tcW w:w="6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37"/>
        </w:trPr>
        <w:tc>
          <w:tcPr>
            <w:tcW w:w="6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28"/>
        </w:trPr>
        <w:tc>
          <w:tcPr>
            <w:tcW w:w="67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Amortization expense for acquired intangible assets (customer relationships and trade names)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15,120</w:t>
            </w:r>
          </w:p>
        </w:tc>
      </w:tr>
      <w:tr>
        <w:trPr>
          <w:trHeight w:val="219"/>
        </w:trPr>
        <w:tc>
          <w:tcPr>
            <w:tcW w:w="6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Eliminate historical Amelia intangible asset amortization expense</w:t>
            </w:r>
          </w:p>
        </w:tc>
        <w:tc>
          <w:tcPr>
            <w:tcW w:w="160" w:type="dxa"/>
            <w:vAlign w:val="bottom"/>
          </w:tcPr>
          <w:p>
            <w:pPr>
              <w:spacing w:after="0"/>
              <w:rPr>
                <w:sz w:val="19"/>
                <w:szCs w:val="19"/>
                <w:color w:val="auto"/>
              </w:rPr>
            </w:pPr>
          </w:p>
        </w:tc>
        <w:tc>
          <w:tcPr>
            <w:tcW w:w="16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(3,205)</w:t>
            </w:r>
          </w:p>
        </w:tc>
      </w:tr>
      <w:tr>
        <w:trPr>
          <w:trHeight w:val="37"/>
        </w:trPr>
        <w:tc>
          <w:tcPr>
            <w:tcW w:w="67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73"/>
        </w:trPr>
        <w:tc>
          <w:tcPr>
            <w:tcW w:w="67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Net adjustment to amortization of intangible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11,915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442" w:hanging="442"/>
        <w:spacing w:after="0"/>
        <w:tabs>
          <w:tab w:leader="none" w:pos="442"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elimination of Amelia’s deferred commission amortization expense, related to the elimination in Note 4(b) above.</w:t>
      </w:r>
    </w:p>
    <w:p>
      <w:pPr>
        <w:spacing w:after="0" w:line="230" w:lineRule="exact"/>
        <w:rPr>
          <w:rFonts w:ascii="Times New Roman" w:cs="Times New Roman" w:eastAsia="Times New Roman" w:hAnsi="Times New Roman"/>
          <w:sz w:val="16"/>
          <w:szCs w:val="16"/>
          <w:color w:val="auto"/>
        </w:rPr>
      </w:pPr>
    </w:p>
    <w:p>
      <w:pPr>
        <w:ind w:left="442" w:right="20" w:hanging="442"/>
        <w:spacing w:after="0" w:line="289" w:lineRule="auto"/>
        <w:tabs>
          <w:tab w:leader="none" w:pos="4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estimated incremental $4.0 million and $9.7 million of transaction costs incurred by SoundHound and Amelia, respectively, which are not yet reflected in the historical financial statements.</w:t>
      </w:r>
    </w:p>
    <w:p>
      <w:pPr>
        <w:spacing w:after="0" w:line="166" w:lineRule="exact"/>
        <w:rPr>
          <w:rFonts w:ascii="Times New Roman" w:cs="Times New Roman" w:eastAsia="Times New Roman" w:hAnsi="Times New Roman"/>
          <w:sz w:val="16"/>
          <w:szCs w:val="16"/>
          <w:color w:val="auto"/>
        </w:rPr>
      </w:pPr>
    </w:p>
    <w:p>
      <w:pPr>
        <w:ind w:left="442" w:hanging="442"/>
        <w:spacing w:after="0"/>
        <w:tabs>
          <w:tab w:leader="none" w:pos="442"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reduction of $6.6 million in historical Amelia interest expense related to the terms of the Amended Term Loan Facility.</w:t>
      </w:r>
    </w:p>
    <w:p>
      <w:pPr>
        <w:spacing w:after="0" w:line="230" w:lineRule="exact"/>
        <w:rPr>
          <w:rFonts w:ascii="Times New Roman" w:cs="Times New Roman" w:eastAsia="Times New Roman" w:hAnsi="Times New Roman"/>
          <w:sz w:val="16"/>
          <w:szCs w:val="16"/>
          <w:color w:val="auto"/>
        </w:rPr>
      </w:pPr>
    </w:p>
    <w:p>
      <w:pPr>
        <w:jc w:val="both"/>
        <w:ind w:left="442" w:right="20" w:hanging="442"/>
        <w:spacing w:after="0" w:line="263" w:lineRule="auto"/>
        <w:tabs>
          <w:tab w:leader="none" w:pos="4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pro forma basic and diluted net income per share attributable to the combined entity’s common stockholders presented in conformity with the two-class method required for participating securities as a result of the pro forma adjustments. The two-class method requires income available to common stockholders for the period to be allocated between shares of common stock and participating securities based on their respective rights to receive earnings as if all earnings for the period had been distributed. The shares issued and held in escrow are participating securities that contractually entitle the holders of such shares to participate in the combined entity’s earnings but do not contractually require the holders of such shares to participate in the combined entity’s losses.</w:t>
      </w:r>
    </w:p>
    <w:p>
      <w:pPr>
        <w:spacing w:after="0" w:line="186" w:lineRule="exact"/>
        <w:rPr>
          <w:rFonts w:ascii="Times New Roman" w:cs="Times New Roman" w:eastAsia="Times New Roman" w:hAnsi="Times New Roman"/>
          <w:sz w:val="16"/>
          <w:szCs w:val="16"/>
          <w:color w:val="auto"/>
        </w:rPr>
      </w:pPr>
    </w:p>
    <w:p>
      <w:pPr>
        <w:jc w:val="both"/>
        <w:ind w:left="442"/>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 forma basic net income per share attributable to the combined entity’s common stockholders is calculated using the historical basic weighted average shares of SoundHound common stock outstanding, adjusted for the additional new shares of SoundHound Class A common stock issued to consummate the Acquisition, assuming the shares were issued and outstanding as of January 1, 2023. Pro forma diluted net income per share attributable to the combined entity’s common stockholders is calculated using the historical diluted weighted average shares of SoundHound Class A common stock outstanding, adjusted for the additional new shares of SoundHound common stock issued to consummate the Acquisition.</w:t>
      </w:r>
    </w:p>
    <w:p>
      <w:pPr>
        <w:spacing w:after="0" w:line="186" w:lineRule="exact"/>
        <w:rPr>
          <w:rFonts w:ascii="Times New Roman" w:cs="Times New Roman" w:eastAsia="Times New Roman" w:hAnsi="Times New Roman"/>
          <w:sz w:val="16"/>
          <w:szCs w:val="16"/>
          <w:color w:val="auto"/>
        </w:rPr>
      </w:pPr>
    </w:p>
    <w:p>
      <w:pPr>
        <w:ind w:left="44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 forma weighted average shares outstanding used to calculate pro forma basic and diluted net income per share attributable to common stockholders excludes</w:t>
      </w:r>
    </w:p>
    <w:p>
      <w:pPr>
        <w:spacing w:after="0" w:line="47" w:lineRule="exact"/>
        <w:rPr>
          <w:rFonts w:ascii="Times New Roman" w:cs="Times New Roman" w:eastAsia="Times New Roman" w:hAnsi="Times New Roman"/>
          <w:sz w:val="16"/>
          <w:szCs w:val="16"/>
          <w:color w:val="auto"/>
        </w:rPr>
      </w:pPr>
    </w:p>
    <w:p>
      <w:pPr>
        <w:ind w:left="442" w:right="20"/>
        <w:spacing w:after="0" w:line="28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2,149,530 shares of SoundHound Class A common stock held in escrow as they are considered contingently returnable shares until the indemnifications subject to escrow have been resolved.</w:t>
      </w:r>
    </w:p>
    <w:p>
      <w:pPr>
        <w:spacing w:after="0" w:line="213" w:lineRule="exact"/>
        <w:rPr>
          <w:sz w:val="20"/>
          <w:szCs w:val="20"/>
          <w:color w:val="auto"/>
        </w:rPr>
      </w:pPr>
    </w:p>
    <w:tbl>
      <w:tblPr>
        <w:tblLayout w:type="fixed"/>
        <w:tblInd w:w="1322" w:type="dxa"/>
        <w:tblCellMar>
          <w:top w:w="0" w:type="dxa"/>
          <w:left w:w="0" w:type="dxa"/>
          <w:bottom w:w="0" w:type="dxa"/>
          <w:right w:w="0" w:type="dxa"/>
        </w:tblCellMar>
      </w:tblPr>
      <w:tr>
        <w:trPr>
          <w:trHeight w:val="207"/>
        </w:trPr>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For the year ended</w:t>
            </w:r>
          </w:p>
        </w:tc>
      </w:tr>
      <w:tr>
        <w:trPr>
          <w:trHeight w:val="213"/>
        </w:trPr>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5"/>
        </w:trPr>
        <w:tc>
          <w:tcPr>
            <w:tcW w:w="6620" w:type="dxa"/>
            <w:vAlign w:val="bottom"/>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r>
      <w:tr>
        <w:trPr>
          <w:trHeight w:val="205"/>
        </w:trPr>
        <w:tc>
          <w:tcPr>
            <w:tcW w:w="6620" w:type="dxa"/>
            <w:vAlign w:val="bottom"/>
          </w:tcPr>
          <w:p>
            <w:pPr>
              <w:spacing w:after="0"/>
              <w:rPr>
                <w:sz w:val="17"/>
                <w:szCs w:val="17"/>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w:t>
            </w:r>
          </w:p>
        </w:tc>
      </w:tr>
      <w:tr>
        <w:trPr>
          <w:trHeight w:val="213"/>
        </w:trPr>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and per share data)</w:t>
            </w:r>
          </w:p>
        </w:tc>
      </w:tr>
      <w:tr>
        <w:trPr>
          <w:trHeight w:val="25"/>
        </w:trPr>
        <w:tc>
          <w:tcPr>
            <w:tcW w:w="6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8"/>
        </w:trPr>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 forma net loss attributable to stockholders, December 31, 2023</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(188,389)</w:t>
            </w:r>
          </w:p>
        </w:tc>
      </w:tr>
      <w:tr>
        <w:trPr>
          <w:trHeight w:val="219"/>
        </w:trPr>
        <w:tc>
          <w:tcPr>
            <w:tcW w:w="6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 basic and diluted</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236,018,341</w:t>
            </w:r>
          </w:p>
        </w:tc>
      </w:tr>
      <w:tr>
        <w:trPr>
          <w:trHeight w:val="37"/>
        </w:trPr>
        <w:tc>
          <w:tcPr>
            <w:tcW w:w="66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73"/>
        </w:trPr>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Pro forma net loss per share - basic and diluted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r>
        <w:trPr>
          <w:trHeight w:val="152"/>
        </w:trPr>
        <w:tc>
          <w:tcPr>
            <w:tcW w:w="6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36"/>
        </w:trPr>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Pro forma weighted average shares outstanding – Basic and diluted</w:t>
            </w:r>
          </w:p>
        </w:tc>
        <w:tc>
          <w:tcPr>
            <w:tcW w:w="2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19"/>
        </w:trPr>
        <w:tc>
          <w:tcPr>
            <w:tcW w:w="6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SoundHound historical, December 31, 2023</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229,264,904</w:t>
            </w:r>
          </w:p>
        </w:tc>
      </w:tr>
      <w:tr>
        <w:trPr>
          <w:trHeight w:val="37"/>
        </w:trPr>
        <w:tc>
          <w:tcPr>
            <w:tcW w:w="6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36"/>
        </w:trPr>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Amelia Acquisition share consideration transferred (1)</w:t>
            </w:r>
          </w:p>
        </w:tc>
        <w:tc>
          <w:tcPr>
            <w:tcW w:w="2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3,809,520</w:t>
            </w:r>
          </w:p>
        </w:tc>
      </w:tr>
      <w:tr>
        <w:trPr>
          <w:trHeight w:val="219"/>
        </w:trPr>
        <w:tc>
          <w:tcPr>
            <w:tcW w:w="6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Class A common stock for Debt Paydown</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2,943,917</w:t>
            </w:r>
          </w:p>
        </w:tc>
      </w:tr>
      <w:tr>
        <w:trPr>
          <w:trHeight w:val="37"/>
        </w:trPr>
        <w:tc>
          <w:tcPr>
            <w:tcW w:w="66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73"/>
        </w:trPr>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Pro forma weighted average shares outstanding – Basic and diluted</w:t>
            </w:r>
          </w:p>
        </w:tc>
        <w:tc>
          <w:tcPr>
            <w:tcW w:w="2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236,018,341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6"/>
          <w:szCs w:val="16"/>
          <w:color w:val="auto"/>
        </w:rPr>
        <w:t>(1) Amount excludes the 2,149,530 shares of SoundHound Class A common stock held in escrow as they are considered contingently returnable shares.</w:t>
      </w:r>
    </w:p>
    <w:p>
      <w:pPr>
        <w:spacing w:after="0" w:line="231" w:lineRule="exact"/>
        <w:rPr>
          <w:sz w:val="20"/>
          <w:szCs w:val="20"/>
          <w:color w:val="auto"/>
        </w:rPr>
      </w:pPr>
    </w:p>
    <w:p>
      <w:pPr>
        <w:ind w:left="2" w:right="20"/>
        <w:spacing w:after="0" w:line="289" w:lineRule="auto"/>
        <w:rPr>
          <w:sz w:val="20"/>
          <w:szCs w:val="20"/>
          <w:color w:val="auto"/>
        </w:rPr>
      </w:pPr>
      <w:r>
        <w:rPr>
          <w:rFonts w:ascii="Times New Roman" w:cs="Times New Roman" w:eastAsia="Times New Roman" w:hAnsi="Times New Roman"/>
          <w:sz w:val="16"/>
          <w:szCs w:val="16"/>
          <w:color w:val="auto"/>
        </w:rPr>
        <w:t>The adjustments related to the acquisition of Amelia included in the unaudited pro forma condensed combined statement of operations for the six months ended June 30, 2024 are as follows:</w:t>
      </w:r>
    </w:p>
    <w:p>
      <w:pPr>
        <w:spacing w:after="0" w:line="166" w:lineRule="exact"/>
        <w:rPr>
          <w:sz w:val="20"/>
          <w:szCs w:val="20"/>
          <w:color w:val="auto"/>
        </w:rPr>
      </w:pPr>
    </w:p>
    <w:p>
      <w:pPr>
        <w:jc w:val="both"/>
        <w:ind w:left="442" w:hanging="442"/>
        <w:spacing w:after="0" w:line="271" w:lineRule="auto"/>
        <w:tabs>
          <w:tab w:leader="none" w:pos="434"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elimination of Amelia's historical amortization expense and the recognition of new amortization expense related to the acquired identifiable intangible assets based on the estimated fair value as of the Acquisition Date. Amortization expense is calculated based on the estimated fair value of each of the identifiable intangible asset and the associated estimated useful lives.</w:t>
      </w:r>
    </w:p>
    <w:p>
      <w:pPr>
        <w:spacing w:after="0" w:line="181" w:lineRule="exact"/>
        <w:rPr>
          <w:rFonts w:ascii="Times New Roman" w:cs="Times New Roman" w:eastAsia="Times New Roman" w:hAnsi="Times New Roman"/>
          <w:sz w:val="16"/>
          <w:szCs w:val="16"/>
          <w:color w:val="auto"/>
        </w:rPr>
      </w:pPr>
    </w:p>
    <w:p>
      <w:pPr>
        <w:ind w:left="442" w:right="20"/>
        <w:spacing w:after="0" w:line="28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acquired intangible assets have been amortized using a straight-line method based on their estimated useful lives as if the Acquisition had been completed on January 1, 2024. Refer to Note 4(d) for the corresponding pro forma adjusting entries to recognize the acquired intangible assets.</w:t>
      </w:r>
    </w:p>
    <w:p>
      <w:pPr>
        <w:sectPr>
          <w:pgSz w:w="11900" w:h="16838" w:orient="portrait"/>
          <w:cols w:equalWidth="0" w:num="1">
            <w:col w:w="11262"/>
          </w:cols>
          <w:pgMar w:left="318" w:top="170" w:right="319" w:bottom="0" w:gutter="0" w:footer="0" w:header="0"/>
        </w:sectPr>
      </w:pPr>
    </w:p>
    <w:bookmarkStart w:id="72" w:name="page73"/>
    <w:bookmarkEnd w:id="72"/>
    <w:tbl>
      <w:tblPr>
        <w:tblLayout w:type="fixed"/>
        <w:tblInd w:w="1322" w:type="dxa"/>
        <w:tblCellMar>
          <w:top w:w="0" w:type="dxa"/>
          <w:left w:w="0" w:type="dxa"/>
          <w:bottom w:w="0" w:type="dxa"/>
          <w:right w:w="0" w:type="dxa"/>
        </w:tblCellMar>
      </w:tblPr>
      <w:tr>
        <w:trPr>
          <w:trHeight w:val="207"/>
        </w:trPr>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 the six months</w:t>
            </w: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useful life</w:t>
            </w:r>
          </w:p>
        </w:tc>
      </w:tr>
      <w:tr>
        <w:trPr>
          <w:trHeight w:val="213"/>
        </w:trPr>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ended June 30, 2024</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5"/>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1"/>
        </w:trPr>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r>
      <w:tr>
        <w:trPr>
          <w:trHeight w:val="37"/>
        </w:trPr>
        <w:tc>
          <w:tcPr>
            <w:tcW w:w="5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28"/>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Proprietary technology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9,890</w:t>
            </w:r>
          </w:p>
        </w:tc>
        <w:tc>
          <w:tcPr>
            <w:tcW w:w="18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5</w:t>
            </w:r>
          </w:p>
        </w:tc>
      </w:tr>
      <w:tr>
        <w:trPr>
          <w:trHeight w:val="219"/>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Customer relationships</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6,860</w:t>
            </w:r>
          </w:p>
        </w:tc>
        <w:tc>
          <w:tcPr>
            <w:tcW w:w="18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5</w:t>
            </w:r>
          </w:p>
        </w:tc>
      </w:tr>
      <w:tr>
        <w:trPr>
          <w:trHeight w:val="37"/>
        </w:trPr>
        <w:tc>
          <w:tcPr>
            <w:tcW w:w="5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56"/>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Trade names</w:t>
            </w:r>
          </w:p>
        </w:tc>
        <w:tc>
          <w:tcPr>
            <w:tcW w:w="1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82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5</w:t>
            </w:r>
          </w:p>
        </w:tc>
      </w:tr>
      <w:tr>
        <w:trPr>
          <w:trHeight w:val="211"/>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amortization expense for acquired intangible assets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17,450</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7"/>
        </w:trPr>
        <w:tc>
          <w:tcPr>
            <w:tcW w:w="50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335" w:lineRule="exact"/>
        <w:rPr>
          <w:sz w:val="20"/>
          <w:szCs w:val="20"/>
          <w:color w:val="auto"/>
        </w:rPr>
      </w:pPr>
    </w:p>
    <w:tbl>
      <w:tblPr>
        <w:tblLayout w:type="fixed"/>
        <w:tblInd w:w="1322" w:type="dxa"/>
        <w:tblCellMar>
          <w:top w:w="0" w:type="dxa"/>
          <w:left w:w="0" w:type="dxa"/>
          <w:bottom w:w="0" w:type="dxa"/>
          <w:right w:w="0" w:type="dxa"/>
        </w:tblCellMar>
      </w:tblPr>
      <w:tr>
        <w:trPr>
          <w:trHeight w:val="195"/>
        </w:trPr>
        <w:tc>
          <w:tcPr>
            <w:tcW w:w="684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3"/>
        </w:trPr>
        <w:tc>
          <w:tcPr>
            <w:tcW w:w="6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37"/>
        </w:trPr>
        <w:tc>
          <w:tcPr>
            <w:tcW w:w="68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11"/>
        </w:trPr>
        <w:tc>
          <w:tcPr>
            <w:tcW w:w="6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37"/>
        </w:trPr>
        <w:tc>
          <w:tcPr>
            <w:tcW w:w="6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28"/>
        </w:trPr>
        <w:tc>
          <w:tcPr>
            <w:tcW w:w="6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expense for acquired intangible assets (proprietary technology)</w:t>
            </w: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CCEEFF"/>
            </w:tcBorders>
            <w:shd w:val="clear" w:color="auto" w:fill="CCEEFF"/>
          </w:tcPr>
          <w:p>
            <w:pPr>
              <w:jc w:val="center"/>
              <w:ind w:left="939"/>
              <w:spacing w:after="0"/>
              <w:rPr>
                <w:sz w:val="20"/>
                <w:szCs w:val="20"/>
                <w:color w:val="auto"/>
              </w:rPr>
            </w:pPr>
            <w:r>
              <w:rPr>
                <w:rFonts w:ascii="Times New Roman" w:cs="Times New Roman" w:eastAsia="Times New Roman" w:hAnsi="Times New Roman"/>
                <w:sz w:val="16"/>
                <w:szCs w:val="16"/>
                <w:color w:val="auto"/>
                <w:w w:val="99"/>
              </w:rPr>
              <w:t>9,890</w:t>
            </w:r>
          </w:p>
        </w:tc>
      </w:tr>
      <w:tr>
        <w:trPr>
          <w:trHeight w:val="219"/>
        </w:trPr>
        <w:tc>
          <w:tcPr>
            <w:tcW w:w="6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Eliminate historical Amelia intangible asset amortization expense</w:t>
            </w:r>
          </w:p>
        </w:tc>
        <w:tc>
          <w:tcPr>
            <w:tcW w:w="240" w:type="dxa"/>
            <w:vAlign w:val="bottom"/>
          </w:tcPr>
          <w:p>
            <w:pPr>
              <w:spacing w:after="0"/>
              <w:rPr>
                <w:sz w:val="19"/>
                <w:szCs w:val="19"/>
                <w:color w:val="auto"/>
              </w:rPr>
            </w:pPr>
          </w:p>
        </w:tc>
        <w:tc>
          <w:tcPr>
            <w:tcW w:w="1540" w:type="dxa"/>
            <w:vAlign w:val="bottom"/>
          </w:tcPr>
          <w:p>
            <w:pPr>
              <w:jc w:val="center"/>
              <w:ind w:left="899"/>
              <w:spacing w:after="0"/>
              <w:rPr>
                <w:sz w:val="20"/>
                <w:szCs w:val="20"/>
                <w:color w:val="auto"/>
              </w:rPr>
            </w:pPr>
            <w:r>
              <w:rPr>
                <w:rFonts w:ascii="Times New Roman" w:cs="Times New Roman" w:eastAsia="Times New Roman" w:hAnsi="Times New Roman"/>
                <w:sz w:val="16"/>
                <w:szCs w:val="16"/>
                <w:color w:val="auto"/>
              </w:rPr>
              <w:t>(4,400)</w:t>
            </w:r>
          </w:p>
        </w:tc>
      </w:tr>
      <w:tr>
        <w:trPr>
          <w:trHeight w:val="37"/>
        </w:trPr>
        <w:tc>
          <w:tcPr>
            <w:tcW w:w="68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73"/>
        </w:trPr>
        <w:tc>
          <w:tcPr>
            <w:tcW w:w="6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adjustment to cost of revenues</w:t>
            </w: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CCEEFF"/>
            </w:tcBorders>
            <w:shd w:val="clear" w:color="auto" w:fill="CCEEFF"/>
          </w:tcPr>
          <w:p>
            <w:pPr>
              <w:jc w:val="center"/>
              <w:ind w:left="939"/>
              <w:spacing w:after="0"/>
              <w:rPr>
                <w:sz w:val="20"/>
                <w:szCs w:val="20"/>
                <w:color w:val="auto"/>
              </w:rPr>
            </w:pPr>
            <w:r>
              <w:rPr>
                <w:rFonts w:ascii="Times New Roman" w:cs="Times New Roman" w:eastAsia="Times New Roman" w:hAnsi="Times New Roman"/>
                <w:sz w:val="16"/>
                <w:szCs w:val="16"/>
                <w:color w:val="auto"/>
                <w:w w:val="99"/>
              </w:rPr>
              <w:t>5,490</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tbl>
      <w:tblPr>
        <w:tblLayout w:type="fixed"/>
        <w:tblInd w:w="1322" w:type="dxa"/>
        <w:tblCellMar>
          <w:top w:w="0" w:type="dxa"/>
          <w:left w:w="0" w:type="dxa"/>
          <w:bottom w:w="0" w:type="dxa"/>
          <w:right w:w="0" w:type="dxa"/>
        </w:tblCellMar>
      </w:tblPr>
      <w:tr>
        <w:trPr>
          <w:trHeight w:val="207"/>
        </w:trPr>
        <w:tc>
          <w:tcPr>
            <w:tcW w:w="684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3"/>
        </w:trPr>
        <w:tc>
          <w:tcPr>
            <w:tcW w:w="6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5"/>
        </w:trPr>
        <w:tc>
          <w:tcPr>
            <w:tcW w:w="6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1"/>
        </w:trPr>
        <w:tc>
          <w:tcPr>
            <w:tcW w:w="6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37"/>
        </w:trPr>
        <w:tc>
          <w:tcPr>
            <w:tcW w:w="6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28"/>
        </w:trPr>
        <w:tc>
          <w:tcPr>
            <w:tcW w:w="6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expense for acquired intangible assets (customer relationships and trade names)</w:t>
            </w: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7,560</w:t>
            </w:r>
          </w:p>
        </w:tc>
      </w:tr>
      <w:tr>
        <w:trPr>
          <w:trHeight w:val="219"/>
        </w:trPr>
        <w:tc>
          <w:tcPr>
            <w:tcW w:w="6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Eliminate historical Amelia intangible asset amortization expense</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w:t>
            </w:r>
          </w:p>
        </w:tc>
      </w:tr>
      <w:tr>
        <w:trPr>
          <w:trHeight w:val="37"/>
        </w:trPr>
        <w:tc>
          <w:tcPr>
            <w:tcW w:w="68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73"/>
        </w:trPr>
        <w:tc>
          <w:tcPr>
            <w:tcW w:w="6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adjustment to amortization of intangible assets</w:t>
            </w: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5,959</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442" w:hanging="442"/>
        <w:spacing w:after="0"/>
        <w:tabs>
          <w:tab w:leader="none" w:pos="442"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elimination of Amelia’s deferred commission amortization expense, related to the elimination in Note 4(b) above.</w:t>
      </w:r>
    </w:p>
    <w:p>
      <w:pPr>
        <w:spacing w:after="0" w:line="108" w:lineRule="exact"/>
        <w:rPr>
          <w:rFonts w:ascii="Times New Roman" w:cs="Times New Roman" w:eastAsia="Times New Roman" w:hAnsi="Times New Roman"/>
          <w:sz w:val="16"/>
          <w:szCs w:val="16"/>
          <w:color w:val="auto"/>
        </w:rPr>
      </w:pPr>
    </w:p>
    <w:p>
      <w:pPr>
        <w:ind w:left="442" w:hanging="442"/>
        <w:spacing w:after="0"/>
        <w:tabs>
          <w:tab w:leader="none" w:pos="442"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reduction of $4.7 million in historical Amelia interest expense related to the terms of the Amended Term Loan Facility.</w:t>
      </w:r>
    </w:p>
    <w:p>
      <w:pPr>
        <w:spacing w:after="0" w:line="108" w:lineRule="exact"/>
        <w:rPr>
          <w:rFonts w:ascii="Times New Roman" w:cs="Times New Roman" w:eastAsia="Times New Roman" w:hAnsi="Times New Roman"/>
          <w:sz w:val="16"/>
          <w:szCs w:val="16"/>
          <w:color w:val="auto"/>
        </w:rPr>
      </w:pPr>
    </w:p>
    <w:p>
      <w:pPr>
        <w:jc w:val="both"/>
        <w:ind w:left="442" w:right="20" w:hanging="442"/>
        <w:spacing w:after="0" w:line="263" w:lineRule="auto"/>
        <w:tabs>
          <w:tab w:leader="none" w:pos="437"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pro forma basic and diluted net income per share attributable to the combined entity’s common stockholders presented in conformity with the two-class method required for participating securities as a result of the pro forma adjustments. The two-class method requires income available to common stockholders for the period to be allocated between shares of common stock and participating securities based on their respective rights to receive earnings as if all earnings for the period had been distributed. The shares issued and held in escrow are participating securities that contractually entitle the holders of such shares to participate in the combined entity’s earnings but do not contractually require the holders of such shares to participate in the combined entity’s losses.</w:t>
      </w:r>
    </w:p>
    <w:p>
      <w:pPr>
        <w:spacing w:after="0" w:line="284" w:lineRule="exact"/>
        <w:rPr>
          <w:rFonts w:ascii="Times New Roman" w:cs="Times New Roman" w:eastAsia="Times New Roman" w:hAnsi="Times New Roman"/>
          <w:sz w:val="16"/>
          <w:szCs w:val="16"/>
          <w:color w:val="auto"/>
        </w:rPr>
      </w:pPr>
    </w:p>
    <w:p>
      <w:pPr>
        <w:jc w:val="both"/>
        <w:ind w:left="442"/>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 forma basic net income per share attributable to the combined entity’s common stockholders is calculated using the historical basic weighted average shares of SoundHound common stock outstanding, adjusted for the additional new shares of SoundHound Class A common stock issued to consummate the Acquisition, assuming the shares were issued and outstanding as of January 1, 2024. Pro forma diluted net income per share attributable to the combined entity’s common stockholders is calculated using the historical diluted weighted average shares of SoundHound Class A common stock outstanding, adjusted for the additional new shares of SoundHound common stock issued to consummate the Acquisition.</w:t>
      </w:r>
    </w:p>
    <w:p>
      <w:pPr>
        <w:spacing w:after="0" w:line="162" w:lineRule="exact"/>
        <w:rPr>
          <w:rFonts w:ascii="Times New Roman" w:cs="Times New Roman" w:eastAsia="Times New Roman" w:hAnsi="Times New Roman"/>
          <w:sz w:val="16"/>
          <w:szCs w:val="16"/>
          <w:color w:val="auto"/>
        </w:rPr>
      </w:pPr>
    </w:p>
    <w:p>
      <w:pPr>
        <w:ind w:left="44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 forma weighted average shares outstanding used to calculate pro forma basic and diluted net income per share attributable to common stockholders excludes</w:t>
      </w:r>
    </w:p>
    <w:p>
      <w:pPr>
        <w:spacing w:after="0" w:line="47" w:lineRule="exact"/>
        <w:rPr>
          <w:rFonts w:ascii="Times New Roman" w:cs="Times New Roman" w:eastAsia="Times New Roman" w:hAnsi="Times New Roman"/>
          <w:sz w:val="16"/>
          <w:szCs w:val="16"/>
          <w:color w:val="auto"/>
        </w:rPr>
      </w:pPr>
    </w:p>
    <w:p>
      <w:pPr>
        <w:ind w:left="442" w:right="20"/>
        <w:spacing w:after="0" w:line="28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2,149,530 shares of SoundHound Class A common stock held in escrow as they are considered contingently returnable shares until the indemnifications subject to escrow have been resolved.</w:t>
      </w:r>
    </w:p>
    <w:p>
      <w:pPr>
        <w:spacing w:after="0" w:line="213" w:lineRule="exact"/>
        <w:rPr>
          <w:sz w:val="20"/>
          <w:szCs w:val="20"/>
          <w:color w:val="auto"/>
        </w:rPr>
      </w:pPr>
    </w:p>
    <w:tbl>
      <w:tblPr>
        <w:tblLayout w:type="fixed"/>
        <w:tblInd w:w="1362" w:type="dxa"/>
        <w:tblCellMar>
          <w:top w:w="0" w:type="dxa"/>
          <w:left w:w="0" w:type="dxa"/>
          <w:bottom w:w="0" w:type="dxa"/>
          <w:right w:w="0" w:type="dxa"/>
        </w:tblCellMar>
      </w:tblPr>
      <w:tr>
        <w:trPr>
          <w:trHeight w:val="207"/>
        </w:trPr>
        <w:tc>
          <w:tcPr>
            <w:tcW w:w="6740" w:type="dxa"/>
            <w:vAlign w:val="bottom"/>
          </w:tcPr>
          <w:p>
            <w:pPr>
              <w:spacing w:after="0"/>
              <w:rPr>
                <w:sz w:val="18"/>
                <w:szCs w:val="18"/>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3"/>
        </w:trPr>
        <w:tc>
          <w:tcPr>
            <w:tcW w:w="6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5"/>
        </w:trPr>
        <w:tc>
          <w:tcPr>
            <w:tcW w:w="6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5"/>
        </w:trPr>
        <w:tc>
          <w:tcPr>
            <w:tcW w:w="6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 thousands, except</w:t>
            </w:r>
          </w:p>
        </w:tc>
      </w:tr>
      <w:tr>
        <w:trPr>
          <w:trHeight w:val="195"/>
        </w:trPr>
        <w:tc>
          <w:tcPr>
            <w:tcW w:w="6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share and per share</w:t>
            </w:r>
          </w:p>
        </w:tc>
      </w:tr>
      <w:tr>
        <w:trPr>
          <w:trHeight w:val="213"/>
        </w:trPr>
        <w:tc>
          <w:tcPr>
            <w:tcW w:w="6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data)</w:t>
            </w:r>
          </w:p>
        </w:tc>
      </w:tr>
      <w:tr>
        <w:trPr>
          <w:trHeight w:val="37"/>
        </w:trPr>
        <w:tc>
          <w:tcPr>
            <w:tcW w:w="6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28"/>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 forma net loss attributable to stockholders, June 30, 2024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(96,483)</w:t>
            </w:r>
          </w:p>
        </w:tc>
      </w:tr>
      <w:tr>
        <w:trPr>
          <w:trHeight w:val="219"/>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 basic and diluted</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315,967,020</w:t>
            </w:r>
          </w:p>
        </w:tc>
      </w:tr>
      <w:tr>
        <w:trPr>
          <w:trHeight w:val="37"/>
        </w:trPr>
        <w:tc>
          <w:tcPr>
            <w:tcW w:w="67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73"/>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Pro forma net loss per share - basic and 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r>
        <w:trPr>
          <w:trHeight w:val="152"/>
        </w:trPr>
        <w:tc>
          <w:tcPr>
            <w:tcW w:w="6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Pro forma weighted average shares outstanding – Basic and diluted</w:t>
            </w: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r>
      <w:tr>
        <w:trPr>
          <w:trHeight w:val="219"/>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SoundHound historical, June 30, 2024</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309,213,583</w:t>
            </w:r>
          </w:p>
        </w:tc>
      </w:tr>
      <w:tr>
        <w:trPr>
          <w:trHeight w:val="37"/>
        </w:trPr>
        <w:tc>
          <w:tcPr>
            <w:tcW w:w="6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Amelia Acquisition share consideration transferred (1)</w:t>
            </w: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3,809,520</w:t>
            </w:r>
          </w:p>
        </w:tc>
      </w:tr>
      <w:tr>
        <w:trPr>
          <w:trHeight w:val="219"/>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Class A common stock for Debt Paydown</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2,943,917</w:t>
            </w:r>
          </w:p>
        </w:tc>
      </w:tr>
      <w:tr>
        <w:trPr>
          <w:trHeight w:val="37"/>
        </w:trPr>
        <w:tc>
          <w:tcPr>
            <w:tcW w:w="67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73"/>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Pro forma weighted average shares outstanding – Basic and diluted</w:t>
            </w: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315,967,020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6"/>
          <w:szCs w:val="16"/>
          <w:color w:val="auto"/>
        </w:rPr>
        <w:t>(1) Amount excludes the 2,149,530 shares of SoundHound Class A common stock held in escrow as they are considered contingently returnable shares.</w:t>
      </w:r>
    </w:p>
    <w:sectPr>
      <w:pgSz w:w="11900" w:h="16838" w:orient="portrait"/>
      <w:cols w:equalWidth="0" w:num="1">
        <w:col w:w="11262"/>
      </w:cols>
      <w:pgMar w:left="318" w:top="38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o"/>
      <w:numFmt w:val="bullet"/>
      <w:start w:val="1"/>
    </w:lvl>
  </w:abstractNum>
  <w:abstractNum w:abstractNumId="1">
    <w:nsid w:val="4E6AFB66"/>
    <w:multiLevelType w:val="hybridMultilevel"/>
    <w:lvl w:ilvl="0">
      <w:lvlJc w:val="left"/>
      <w:lvlText w:val="(%1)"/>
      <w:numFmt w:val="lowerLetter"/>
      <w:start w:val="1"/>
    </w:lvl>
  </w:abstractNum>
  <w:abstractNum w:abstractNumId="2">
    <w:nsid w:val="25E45D32"/>
    <w:multiLevelType w:val="hybridMultilevel"/>
    <w:lvl w:ilvl="0">
      <w:lvlJc w:val="left"/>
      <w:lvlText w:val="(%1)"/>
      <w:numFmt w:val="lowerLetter"/>
      <w:start w:val="2"/>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lowerRoman"/>
      <w:start w:val="4"/>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decimal"/>
      <w:start w:val="12"/>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lowerLetter"/>
      <w:start w:val="12"/>
    </w:lvl>
  </w:abstractNum>
  <w:abstractNum w:abstractNumId="22">
    <w:nsid w:val="54E49EB4"/>
    <w:multiLevelType w:val="hybridMultilevel"/>
    <w:lvl w:ilvl="0">
      <w:lvlJc w:val="left"/>
      <w:lvlText w:val="(%1)"/>
      <w:numFmt w:val="lowerLetter"/>
      <w:start w:val="13"/>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lowerLetter"/>
      <w:start w:val="4"/>
    </w:lvl>
  </w:abstractNum>
  <w:abstractNum w:abstractNumId="25">
    <w:nsid w:val="836C40E"/>
    <w:multiLevelType w:val="hybridMultilevel"/>
    <w:lvl w:ilvl="0">
      <w:lvlJc w:val="left"/>
      <w:lvlText w:val="(%1)"/>
      <w:numFmt w:val="lowerLetter"/>
      <w:start w:val="5"/>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2"/>
    </w:lvl>
  </w:abstractNum>
  <w:abstractNum w:abstractNumId="29">
    <w:nsid w:val="1E7FF521"/>
    <w:multiLevelType w:val="hybridMultilevel"/>
    <w:lvl w:ilvl="0">
      <w:lvlJc w:val="left"/>
      <w:lvlText w:val="(%1)"/>
      <w:numFmt w:val="lowerLetter"/>
      <w:start w:val="6"/>
    </w:lvl>
  </w:abstractNum>
  <w:abstractNum w:abstractNumId="30">
    <w:nsid w:val="7C3DBD3D"/>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2024-10-22T15:41:27Z</dcterms:created>
  <dcterms:modified xsi:type="dcterms:W3CDTF">2024-10-22T15:41:27Z</dcterms:modified>
</cp:coreProperties>
</file>