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50260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026025"/>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STONEHOCKER TIMOTHY</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SOUNDHOUND AI,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5400 BETSY ROSS DRIVE</w:t>
      </w:r>
    </w:p>
    <w:p>
      <w:pPr>
        <w:spacing w:after="0" w:line="29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9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4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900" w:type="dxa"/>
            <w:vAlign w:val="bottom"/>
          </w:tcPr>
          <w:p>
            <w:pPr>
              <w:spacing w:after="0"/>
              <w:rPr>
                <w:sz w:val="20"/>
                <w:szCs w:val="20"/>
                <w:color w:val="auto"/>
              </w:rPr>
            </w:pPr>
            <w:r>
              <w:rPr>
                <w:rFonts w:ascii="Times New Roman" w:cs="Times New Roman" w:eastAsia="Times New Roman" w:hAnsi="Times New Roman"/>
                <w:sz w:val="17"/>
                <w:szCs w:val="17"/>
                <w:color w:val="0000FF"/>
              </w:rPr>
              <w:t>SANTA</w:t>
            </w:r>
          </w:p>
        </w:tc>
        <w:tc>
          <w:tcPr>
            <w:tcW w:w="1140" w:type="dxa"/>
            <w:vAlign w:val="bottom"/>
            <w:vMerge w:val="restart"/>
          </w:tcPr>
          <w:p>
            <w:pPr>
              <w:ind w:left="32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vMerge w:val="restart"/>
          </w:tcPr>
          <w:p>
            <w:pPr>
              <w:ind w:left="400"/>
              <w:spacing w:after="0"/>
              <w:rPr>
                <w:sz w:val="20"/>
                <w:szCs w:val="20"/>
                <w:color w:val="auto"/>
              </w:rPr>
            </w:pPr>
            <w:r>
              <w:rPr>
                <w:rFonts w:ascii="Times New Roman" w:cs="Times New Roman" w:eastAsia="Times New Roman" w:hAnsi="Times New Roman"/>
                <w:sz w:val="17"/>
                <w:szCs w:val="17"/>
                <w:color w:val="0000FF"/>
              </w:rPr>
              <w:t>95054</w:t>
            </w:r>
          </w:p>
        </w:tc>
        <w:tc>
          <w:tcPr>
            <w:tcW w:w="0" w:type="dxa"/>
            <w:vAlign w:val="bottom"/>
          </w:tcPr>
          <w:p>
            <w:pPr>
              <w:spacing w:after="0"/>
              <w:rPr>
                <w:sz w:val="1"/>
                <w:szCs w:val="1"/>
                <w:color w:val="auto"/>
              </w:rPr>
            </w:pPr>
          </w:p>
        </w:tc>
      </w:tr>
      <w:tr>
        <w:trPr>
          <w:trHeight w:val="120"/>
        </w:trPr>
        <w:tc>
          <w:tcPr>
            <w:tcW w:w="40" w:type="dxa"/>
            <w:vAlign w:val="bottom"/>
          </w:tcPr>
          <w:p>
            <w:pPr>
              <w:spacing w:after="0"/>
              <w:rPr>
                <w:sz w:val="10"/>
                <w:szCs w:val="10"/>
                <w:color w:val="auto"/>
              </w:rPr>
            </w:pPr>
          </w:p>
        </w:tc>
        <w:tc>
          <w:tcPr>
            <w:tcW w:w="9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CLARA</w:t>
            </w:r>
          </w:p>
        </w:tc>
        <w:tc>
          <w:tcPr>
            <w:tcW w:w="1140" w:type="dxa"/>
            <w:vAlign w:val="bottom"/>
            <w:vMerge w:val="continue"/>
          </w:tcPr>
          <w:p>
            <w:pPr>
              <w:spacing w:after="0"/>
              <w:rPr>
                <w:sz w:val="10"/>
                <w:szCs w:val="10"/>
                <w:color w:val="auto"/>
              </w:rPr>
            </w:pPr>
          </w:p>
        </w:tc>
        <w:tc>
          <w:tcPr>
            <w:tcW w:w="16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900" w:type="dxa"/>
            <w:vAlign w:val="bottom"/>
            <w:vMerge w:val="continue"/>
          </w:tcPr>
          <w:p>
            <w:pPr>
              <w:spacing w:after="0"/>
              <w:rPr>
                <w:sz w:val="9"/>
                <w:szCs w:val="9"/>
                <w:color w:val="auto"/>
              </w:rPr>
            </w:pPr>
          </w:p>
        </w:tc>
        <w:tc>
          <w:tcPr>
            <w:tcW w:w="1140" w:type="dxa"/>
            <w:vAlign w:val="bottom"/>
          </w:tcPr>
          <w:p>
            <w:pPr>
              <w:spacing w:after="0"/>
              <w:rPr>
                <w:sz w:val="9"/>
                <w:szCs w:val="9"/>
                <w:color w:val="auto"/>
              </w:rPr>
            </w:pPr>
          </w:p>
        </w:tc>
        <w:tc>
          <w:tcPr>
            <w:tcW w:w="1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40" w:type="dxa"/>
            <w:vAlign w:val="bottom"/>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40" w:type="dxa"/>
            <w:vAlign w:val="bottom"/>
          </w:tcPr>
          <w:p>
            <w:pPr>
              <w:spacing w:after="0"/>
              <w:rPr>
                <w:sz w:val="24"/>
                <w:szCs w:val="24"/>
                <w:color w:val="auto"/>
              </w:rPr>
            </w:pPr>
          </w:p>
        </w:tc>
        <w:tc>
          <w:tcPr>
            <w:tcW w:w="900" w:type="dxa"/>
            <w:vAlign w:val="bottom"/>
          </w:tcPr>
          <w:p>
            <w:pPr>
              <w:spacing w:after="0"/>
              <w:rPr>
                <w:sz w:val="20"/>
                <w:szCs w:val="20"/>
                <w:color w:val="auto"/>
              </w:rPr>
            </w:pPr>
            <w:r>
              <w:rPr>
                <w:rFonts w:ascii="Arial" w:cs="Arial" w:eastAsia="Arial" w:hAnsi="Arial"/>
                <w:sz w:val="13"/>
                <w:szCs w:val="13"/>
                <w:color w:val="auto"/>
              </w:rPr>
              <w:t>(City)</w:t>
            </w:r>
          </w:p>
        </w:tc>
        <w:tc>
          <w:tcPr>
            <w:tcW w:w="1140" w:type="dxa"/>
            <w:vAlign w:val="bottom"/>
          </w:tcPr>
          <w:p>
            <w:pPr>
              <w:ind w:left="3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SOUNDHOUND AI,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SOUN</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gridSpan w:val="3"/>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180" w:type="dxa"/>
            <w:vAlign w:val="bottom"/>
          </w:tcPr>
          <w:p>
            <w:pPr>
              <w:spacing w:after="0"/>
              <w:rPr>
                <w:sz w:val="3"/>
                <w:szCs w:val="3"/>
                <w:color w:val="auto"/>
              </w:rPr>
            </w:pPr>
          </w:p>
        </w:tc>
        <w:tc>
          <w:tcPr>
            <w:tcW w:w="1440" w:type="dxa"/>
            <w:vAlign w:val="bottom"/>
          </w:tcPr>
          <w:p>
            <w:pPr>
              <w:spacing w:after="0"/>
              <w:rPr>
                <w:sz w:val="3"/>
                <w:szCs w:val="3"/>
                <w:color w:val="auto"/>
              </w:rPr>
            </w:pPr>
          </w:p>
        </w:tc>
        <w:tc>
          <w:tcPr>
            <w:tcW w:w="1860" w:type="dxa"/>
            <w:vAlign w:val="bottom"/>
            <w:gridSpan w:val="3"/>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180" w:type="dxa"/>
            <w:vAlign w:val="bottom"/>
            <w:tcBorders>
              <w:bottom w:val="single" w:sz="8" w:color="0000EE"/>
            </w:tcBorders>
          </w:tcPr>
          <w:p>
            <w:pPr>
              <w:spacing w:after="0"/>
              <w:rPr>
                <w:sz w:val="3"/>
                <w:szCs w:val="3"/>
                <w:color w:val="auto"/>
              </w:rPr>
            </w:pPr>
          </w:p>
        </w:tc>
        <w:tc>
          <w:tcPr>
            <w:tcW w:w="1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9"/>
        </w:trPr>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18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36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1"/>
        </w:trPr>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2180" w:type="dxa"/>
            <w:vAlign w:val="bottom"/>
            <w:tcBorders>
              <w:bottom w:val="single" w:sz="8" w:color="2C2C2C"/>
            </w:tcBorders>
          </w:tcPr>
          <w:p>
            <w:pPr>
              <w:spacing w:after="0"/>
              <w:rPr>
                <w:sz w:val="6"/>
                <w:szCs w:val="6"/>
                <w:color w:val="auto"/>
              </w:rPr>
            </w:pPr>
          </w:p>
        </w:tc>
        <w:tc>
          <w:tcPr>
            <w:tcW w:w="1440" w:type="dxa"/>
            <w:vAlign w:val="bottom"/>
            <w:tcBorders>
              <w:bottom w:val="single" w:sz="8" w:color="2C2C2C"/>
            </w:tcBorders>
          </w:tcPr>
          <w:p>
            <w:pPr>
              <w:spacing w:after="0"/>
              <w:rPr>
                <w:sz w:val="6"/>
                <w:szCs w:val="6"/>
                <w:color w:val="auto"/>
              </w:rPr>
            </w:pPr>
          </w:p>
        </w:tc>
        <w:tc>
          <w:tcPr>
            <w:tcW w:w="200" w:type="dxa"/>
            <w:vAlign w:val="bottom"/>
          </w:tcPr>
          <w:p>
            <w:pPr>
              <w:spacing w:after="0"/>
              <w:rPr>
                <w:sz w:val="6"/>
                <w:szCs w:val="6"/>
                <w:color w:val="auto"/>
              </w:rPr>
            </w:pPr>
          </w:p>
        </w:tc>
        <w:tc>
          <w:tcPr>
            <w:tcW w:w="30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81"/>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7"/>
                <w:szCs w:val="7"/>
                <w:color w:val="auto"/>
              </w:rPr>
            </w:pPr>
          </w:p>
        </w:tc>
        <w:tc>
          <w:tcPr>
            <w:tcW w:w="300" w:type="dxa"/>
            <w:vAlign w:val="bottom"/>
            <w:vMerge w:val="continue"/>
          </w:tcPr>
          <w:p>
            <w:pPr>
              <w:spacing w:after="0"/>
              <w:rPr>
                <w:sz w:val="7"/>
                <w:szCs w:val="7"/>
                <w:color w:val="auto"/>
              </w:rPr>
            </w:pPr>
          </w:p>
        </w:tc>
        <w:tc>
          <w:tcPr>
            <w:tcW w:w="1360" w:type="dxa"/>
            <w:vAlign w:val="bottom"/>
            <w:vMerge w:val="continue"/>
          </w:tcPr>
          <w:p>
            <w:pPr>
              <w:spacing w:after="0"/>
              <w:rPr>
                <w:sz w:val="7"/>
                <w:szCs w:val="7"/>
                <w:color w:val="auto"/>
              </w:rPr>
            </w:pPr>
          </w:p>
        </w:tc>
        <w:tc>
          <w:tcPr>
            <w:tcW w:w="1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200" w:type="dxa"/>
            <w:vAlign w:val="bottom"/>
            <w:gridSpan w:val="2"/>
            <w:vMerge w:val="continue"/>
          </w:tcPr>
          <w:p>
            <w:pPr>
              <w:spacing w:after="0"/>
              <w:rPr>
                <w:sz w:val="10"/>
                <w:szCs w:val="10"/>
                <w:color w:val="auto"/>
              </w:rPr>
            </w:pPr>
          </w:p>
        </w:tc>
        <w:tc>
          <w:tcPr>
            <w:tcW w:w="362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300" w:type="dxa"/>
            <w:vAlign w:val="bottom"/>
            <w:vMerge w:val="continue"/>
          </w:tcPr>
          <w:p>
            <w:pPr>
              <w:spacing w:after="0"/>
              <w:rPr>
                <w:sz w:val="10"/>
                <w:szCs w:val="10"/>
                <w:color w:val="auto"/>
              </w:rPr>
            </w:pPr>
          </w:p>
        </w:tc>
        <w:tc>
          <w:tcPr>
            <w:tcW w:w="1360" w:type="dxa"/>
            <w:vAlign w:val="bottom"/>
          </w:tcPr>
          <w:p>
            <w:pPr>
              <w:ind w:left="100"/>
              <w:spacing w:after="0" w:line="125"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25"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26"/>
        </w:trPr>
        <w:tc>
          <w:tcPr>
            <w:tcW w:w="238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03/21/2024</w:t>
            </w:r>
          </w:p>
        </w:tc>
        <w:tc>
          <w:tcPr>
            <w:tcW w:w="1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00" w:type="dxa"/>
            <w:vAlign w:val="bottom"/>
            <w:gridSpan w:val="2"/>
            <w:vMerge w:val="restart"/>
          </w:tcPr>
          <w:p>
            <w:pPr>
              <w:ind w:left="260"/>
              <w:spacing w:after="0"/>
              <w:rPr>
                <w:sz w:val="20"/>
                <w:szCs w:val="20"/>
                <w:color w:val="auto"/>
              </w:rPr>
            </w:pPr>
            <w:r>
              <w:rPr>
                <w:rFonts w:ascii="Times New Roman" w:cs="Times New Roman" w:eastAsia="Times New Roman" w:hAnsi="Times New Roman"/>
                <w:sz w:val="17"/>
                <w:szCs w:val="17"/>
                <w:color w:val="0000FF"/>
              </w:rPr>
              <w:t>Chief Technology Officer</w:t>
            </w:r>
          </w:p>
        </w:tc>
        <w:tc>
          <w:tcPr>
            <w:tcW w:w="0" w:type="dxa"/>
            <w:vAlign w:val="bottom"/>
          </w:tcPr>
          <w:p>
            <w:pPr>
              <w:spacing w:after="0"/>
              <w:rPr>
                <w:sz w:val="1"/>
                <w:szCs w:val="1"/>
                <w:color w:val="auto"/>
              </w:rPr>
            </w:pPr>
          </w:p>
        </w:tc>
      </w:tr>
      <w:tr>
        <w:trPr>
          <w:trHeight w:val="73"/>
        </w:trPr>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2180" w:type="dxa"/>
            <w:vAlign w:val="bottom"/>
          </w:tcPr>
          <w:p>
            <w:pPr>
              <w:spacing w:after="0"/>
              <w:rPr>
                <w:sz w:val="6"/>
                <w:szCs w:val="6"/>
                <w:color w:val="auto"/>
              </w:rPr>
            </w:pPr>
          </w:p>
        </w:tc>
        <w:tc>
          <w:tcPr>
            <w:tcW w:w="1440" w:type="dxa"/>
            <w:vAlign w:val="bottom"/>
          </w:tcPr>
          <w:p>
            <w:pPr>
              <w:spacing w:after="0"/>
              <w:rPr>
                <w:sz w:val="6"/>
                <w:szCs w:val="6"/>
                <w:color w:val="auto"/>
              </w:rPr>
            </w:pPr>
          </w:p>
        </w:tc>
        <w:tc>
          <w:tcPr>
            <w:tcW w:w="200" w:type="dxa"/>
            <w:vAlign w:val="bottom"/>
          </w:tcPr>
          <w:p>
            <w:pPr>
              <w:spacing w:after="0"/>
              <w:rPr>
                <w:sz w:val="6"/>
                <w:szCs w:val="6"/>
                <w:color w:val="auto"/>
              </w:rPr>
            </w:pPr>
          </w:p>
        </w:tc>
        <w:tc>
          <w:tcPr>
            <w:tcW w:w="300" w:type="dxa"/>
            <w:vAlign w:val="bottom"/>
          </w:tcPr>
          <w:p>
            <w:pPr>
              <w:spacing w:after="0"/>
              <w:rPr>
                <w:sz w:val="6"/>
                <w:szCs w:val="6"/>
                <w:color w:val="auto"/>
              </w:rPr>
            </w:pPr>
          </w:p>
        </w:tc>
        <w:tc>
          <w:tcPr>
            <w:tcW w:w="280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1"/>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2180" w:type="dxa"/>
            <w:vAlign w:val="bottom"/>
            <w:tcBorders>
              <w:bottom w:val="single" w:sz="8" w:color="2C2C2C"/>
            </w:tcBorders>
          </w:tcPr>
          <w:p>
            <w:pPr>
              <w:spacing w:after="0"/>
              <w:rPr>
                <w:sz w:val="8"/>
                <w:szCs w:val="8"/>
                <w:color w:val="auto"/>
              </w:rPr>
            </w:pPr>
          </w:p>
        </w:tc>
        <w:tc>
          <w:tcPr>
            <w:tcW w:w="144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100"/>
        <w:spacing w:after="0"/>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5"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4" w:lineRule="exact"/>
        <w:rPr>
          <w:sz w:val="24"/>
          <w:szCs w:val="24"/>
          <w:color w:val="auto"/>
        </w:rPr>
      </w:pPr>
    </w:p>
    <w:p>
      <w:pPr>
        <w:ind w:left="340" w:right="420"/>
        <w:spacing w:after="0" w:line="26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5"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40" w:type="dxa"/>
            <w:vAlign w:val="bottom"/>
            <w:gridSpan w:val="2"/>
          </w:tcPr>
          <w:p>
            <w:pPr>
              <w:ind w:left="50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00"/>
              <w:spacing w:after="0" w:line="133" w:lineRule="exact"/>
              <w:rPr>
                <w:sz w:val="20"/>
                <w:szCs w:val="20"/>
                <w:color w:val="auto"/>
              </w:rPr>
            </w:pPr>
            <w:r>
              <w:rPr>
                <w:rFonts w:ascii="Arial" w:cs="Arial" w:eastAsia="Arial" w:hAnsi="Arial"/>
                <w:sz w:val="12"/>
                <w:szCs w:val="12"/>
                <w:b w:val="1"/>
                <w:bCs w:val="1"/>
                <w:color w:val="auto"/>
              </w:rPr>
              <w:t>Date</w:t>
            </w:r>
          </w:p>
        </w:tc>
        <w:tc>
          <w:tcPr>
            <w:tcW w:w="420" w:type="dxa"/>
            <w:vAlign w:val="bottom"/>
          </w:tcPr>
          <w:p>
            <w:pPr>
              <w:spacing w:after="0"/>
              <w:rPr>
                <w:sz w:val="11"/>
                <w:szCs w:val="11"/>
                <w:color w:val="auto"/>
              </w:rPr>
            </w:pPr>
          </w:p>
        </w:tc>
        <w:tc>
          <w:tcPr>
            <w:tcW w:w="11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18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w w:val="99"/>
              </w:rPr>
              <w:t>Disposed Of (D) (Instr. 3, 4 and</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40" w:type="dxa"/>
            <w:vAlign w:val="bottom"/>
            <w:gridSpan w:val="2"/>
          </w:tcPr>
          <w:p>
            <w:pPr>
              <w:ind w:left="50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40" w:type="dxa"/>
            <w:vAlign w:val="bottom"/>
          </w:tcPr>
          <w:p>
            <w:pPr>
              <w:spacing w:after="0"/>
              <w:rPr>
                <w:sz w:val="6"/>
                <w:szCs w:val="6"/>
                <w:color w:val="auto"/>
              </w:rPr>
            </w:pPr>
          </w:p>
        </w:tc>
        <w:tc>
          <w:tcPr>
            <w:tcW w:w="68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4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3"/>
              </w:rPr>
              <w:t>(A) or</w:t>
            </w:r>
          </w:p>
        </w:tc>
        <w:tc>
          <w:tcPr>
            <w:tcW w:w="620" w:type="dxa"/>
            <w:vAlign w:val="bottom"/>
            <w:gridSpan w:val="2"/>
            <w:vMerge w:val="restart"/>
          </w:tcPr>
          <w:p>
            <w:pPr>
              <w:ind w:left="18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40" w:type="dxa"/>
            <w:vAlign w:val="bottom"/>
          </w:tcPr>
          <w:p>
            <w:pPr>
              <w:spacing w:after="0"/>
              <w:rPr>
                <w:sz w:val="8"/>
                <w:szCs w:val="8"/>
                <w:color w:val="auto"/>
              </w:rPr>
            </w:pPr>
          </w:p>
        </w:tc>
        <w:tc>
          <w:tcPr>
            <w:tcW w:w="68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40" w:type="dxa"/>
            <w:vAlign w:val="bottom"/>
          </w:tcPr>
          <w:p>
            <w:pPr>
              <w:spacing w:after="0"/>
              <w:rPr>
                <w:sz w:val="5"/>
                <w:szCs w:val="5"/>
                <w:color w:val="auto"/>
              </w:rPr>
            </w:pPr>
          </w:p>
        </w:tc>
        <w:tc>
          <w:tcPr>
            <w:tcW w:w="68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40" w:type="dxa"/>
            <w:vAlign w:val="bottom"/>
            <w:tcBorders>
              <w:bottom w:val="single" w:sz="8" w:color="2C2C2C"/>
            </w:tcBorders>
            <w:gridSpan w:val="2"/>
          </w:tcPr>
          <w:p>
            <w:pPr>
              <w:ind w:left="580"/>
              <w:spacing w:after="0"/>
              <w:rPr>
                <w:sz w:val="20"/>
                <w:szCs w:val="20"/>
                <w:color w:val="auto"/>
              </w:rPr>
            </w:pPr>
            <w:r>
              <w:rPr>
                <w:rFonts w:ascii="Times New Roman" w:cs="Times New Roman" w:eastAsia="Times New Roman" w:hAnsi="Times New Roman"/>
                <w:sz w:val="17"/>
                <w:szCs w:val="17"/>
                <w:color w:val="0000FF"/>
              </w:rPr>
              <w:t>03/21/2024</w:t>
            </w:r>
          </w:p>
        </w:tc>
        <w:tc>
          <w:tcPr>
            <w:tcW w:w="4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3"/>
                <w:szCs w:val="13"/>
                <w:color w:val="0000FF"/>
              </w:rPr>
              <w:t>S</w:t>
            </w:r>
          </w:p>
        </w:tc>
        <w:tc>
          <w:tcPr>
            <w:tcW w:w="76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rPr>
              <w:t>5,276</w:t>
            </w:r>
            <w:r>
              <w:rPr>
                <w:rFonts w:ascii="Times New Roman" w:cs="Times New Roman" w:eastAsia="Times New Roman" w:hAnsi="Times New Roman"/>
                <w:sz w:val="22"/>
                <w:szCs w:val="22"/>
                <w:color w:val="008000"/>
                <w:vertAlign w:val="superscript"/>
              </w:rPr>
              <w:t>(1)</w:t>
            </w:r>
          </w:p>
        </w:tc>
        <w:tc>
          <w:tcPr>
            <w:tcW w:w="44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ind w:left="1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7.6961</w:t>
            </w:r>
          </w:p>
        </w:tc>
        <w:tc>
          <w:tcPr>
            <w:tcW w:w="1200" w:type="dxa"/>
            <w:vAlign w:val="bottom"/>
            <w:tcBorders>
              <w:bottom w:val="single" w:sz="8" w:color="2C2C2C"/>
            </w:tcBorders>
            <w:gridSpan w:val="2"/>
          </w:tcPr>
          <w:p>
            <w:pPr>
              <w:ind w:left="220"/>
              <w:spacing w:after="0"/>
              <w:rPr>
                <w:sz w:val="20"/>
                <w:szCs w:val="20"/>
                <w:color w:val="auto"/>
              </w:rPr>
            </w:pPr>
            <w:r>
              <w:rPr>
                <w:rFonts w:ascii="Times New Roman" w:cs="Times New Roman" w:eastAsia="Times New Roman" w:hAnsi="Times New Roman"/>
                <w:sz w:val="17"/>
                <w:szCs w:val="17"/>
                <w:color w:val="0000FF"/>
              </w:rPr>
              <w:t>982,584</w:t>
            </w:r>
            <w:r>
              <w:rPr>
                <w:rFonts w:ascii="Times New Roman" w:cs="Times New Roman" w:eastAsia="Times New Roman" w:hAnsi="Times New Roman"/>
                <w:sz w:val="22"/>
                <w:szCs w:val="22"/>
                <w:color w:val="008000"/>
                <w:vertAlign w:val="superscript"/>
              </w:rPr>
              <w:t>(2)</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3"/>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6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 reported herein was made to satisfy tax withholding obligations in connection with the vesting of shares of restricted stock units granted to the reporting person on August 4, 2022, September 7, 2022, August 3, 2023.</w:t>
      </w:r>
    </w:p>
    <w:p>
      <w:pPr>
        <w:spacing w:after="0" w:line="7"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4,299 shares of common stock acquired in November 2023 through the SoundHound AI, Inc. 2022 Employee Stock Purchase Plan.</w:t>
      </w:r>
    </w:p>
    <w:p>
      <w:pPr>
        <w:spacing w:after="0" w:line="4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/Warren Heit, attorney-in-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24333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243330" cy="8255"/>
                    </a:xfrm>
                    <a:prstGeom prst="rect">
                      <a:avLst/>
                    </a:prstGeom>
                    <a:noFill/>
                  </pic:spPr>
                </pic:pic>
              </a:graphicData>
            </a:graphic>
          </wp:anchor>
        </w:drawing>
      </w:r>
    </w:p>
    <w:p>
      <w:pPr>
        <w:spacing w:after="0" w:line="11" w:lineRule="exact"/>
        <w:rPr>
          <w:sz w:val="24"/>
          <w:szCs w:val="24"/>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fact for STONEHOCKER</w:t>
      </w:r>
      <w:r>
        <w:rPr>
          <w:sz w:val="20"/>
          <w:szCs w:val="20"/>
          <w:color w:val="auto"/>
        </w:rPr>
        <w:tab/>
      </w:r>
      <w:r>
        <w:rPr>
          <w:rFonts w:ascii="Times New Roman" w:cs="Times New Roman" w:eastAsia="Times New Roman" w:hAnsi="Times New Roman"/>
          <w:sz w:val="17"/>
          <w:szCs w:val="17"/>
          <w:color w:val="0000FF"/>
        </w:rPr>
        <w:t>03/21/2024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TIMOTHY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50673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506730" cy="8255"/>
                    </a:xfrm>
                    <a:prstGeom prst="rect">
                      <a:avLst/>
                    </a:prstGeom>
                    <a:noFill/>
                  </pic:spPr>
                </pic:pic>
              </a:graphicData>
            </a:graphic>
          </wp:anchor>
        </w:drawing>
      </w:r>
    </w:p>
    <w:p>
      <w:pPr>
        <w:spacing w:after="0" w:line="40"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9" w:right="359" w:bottom="1440" w:gutter="0" w:footer="0" w:header="0"/>
          <w:type w:val="continuous"/>
        </w:sectPr>
      </w:pPr>
    </w:p>
    <w:bookmarkStart w:id="1" w:name="page2"/>
    <w:bookmarkEnd w:id="1"/>
    <w:p>
      <w:pPr>
        <w:ind w:right="3139"/>
        <w:spacing w:after="0" w:line="284" w:lineRule="auto"/>
        <w:rPr>
          <w:sz w:val="20"/>
          <w:szCs w:val="20"/>
          <w:color w:val="auto"/>
        </w:rPr>
      </w:pPr>
      <w:r>
        <w:rPr>
          <w:rFonts w:ascii="Courier New" w:cs="Courier New" w:eastAsia="Courier New" w:hAnsi="Courier New"/>
          <w:sz w:val="17"/>
          <w:szCs w:val="17"/>
          <w:color w:val="auto"/>
        </w:rPr>
        <w:t>LIMITED POWER OF ATTORNEY FOR REPORTING UNDER SECTION 16(a) OF THE SECURITIES EXCHANGE ACT OF 1934, AS AMENDED SOUNDHOUND AI, INC.</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STONEHOCKER TIMOTHY - CIK # 0001921376</w:t>
      </w:r>
    </w:p>
    <w:p>
      <w:pPr>
        <w:spacing w:after="0" w:line="175" w:lineRule="exact"/>
        <w:rPr>
          <w:sz w:val="20"/>
          <w:szCs w:val="20"/>
          <w:color w:val="auto"/>
        </w:rPr>
      </w:pPr>
    </w:p>
    <w:p>
      <w:pPr>
        <w:ind w:right="3539" w:firstLine="520"/>
        <w:spacing w:after="0" w:line="259" w:lineRule="auto"/>
        <w:rPr>
          <w:sz w:val="20"/>
          <w:szCs w:val="20"/>
          <w:color w:val="auto"/>
        </w:rPr>
      </w:pPr>
      <w:r>
        <w:rPr>
          <w:rFonts w:ascii="Courier New" w:cs="Courier New" w:eastAsia="Courier New" w:hAnsi="Courier New"/>
          <w:sz w:val="17"/>
          <w:szCs w:val="17"/>
          <w:color w:val="auto"/>
        </w:rPr>
        <w:t>Know all by these presents, that the undersigned hereby constitutes and appoints Warren Heit, Nitesh Sharan, or Keyvan Mohajer, signing singly, the undersigned's true and lawful attorney-in-fact to:</w:t>
      </w:r>
    </w:p>
    <w:p>
      <w:pPr>
        <w:ind w:right="3539" w:firstLine="526"/>
        <w:spacing w:after="0" w:line="249" w:lineRule="auto"/>
        <w:tabs>
          <w:tab w:leader="none" w:pos="935"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execute for and on behalf of the undersigned any Form 3, 4, or 5 in accordance with Section 16(a) of the Securities Exchange Act of 1934, as amended, and the rules thereunder;</w:t>
      </w:r>
    </w:p>
    <w:p>
      <w:pPr>
        <w:ind w:right="3019" w:firstLine="526"/>
        <w:spacing w:after="0" w:line="250" w:lineRule="auto"/>
        <w:tabs>
          <w:tab w:leader="none" w:pos="935"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do and perform any and all acts for and on behalf of the undersigned which may be necessary or desirable to complete and execute any such Form 3, 4, or 5, complete and execute any amendment or amendments thereto, and timely file any such form with the United States Securities and Exchange Commission and any stock exchange or similar authority, including completing and executing a Uniform Application for Access Codes to File on Edgar on Form ID; and</w:t>
      </w:r>
    </w:p>
    <w:p>
      <w:pPr>
        <w:spacing w:after="0" w:line="194" w:lineRule="exact"/>
        <w:rPr>
          <w:rFonts w:ascii="Courier New" w:cs="Courier New" w:eastAsia="Courier New" w:hAnsi="Courier New"/>
          <w:sz w:val="17"/>
          <w:szCs w:val="17"/>
          <w:color w:val="auto"/>
        </w:rPr>
      </w:pPr>
    </w:p>
    <w:p>
      <w:pPr>
        <w:ind w:right="2919" w:firstLine="526"/>
        <w:spacing w:after="0" w:line="249" w:lineRule="auto"/>
        <w:tabs>
          <w:tab w:leader="none" w:pos="935"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ind w:right="2819" w:firstLine="520"/>
        <w:spacing w:after="0" w:line="249"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The undersigned hereby grants to each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w:t>
      </w:r>
    </w:p>
    <w:p>
      <w:pPr>
        <w:ind w:right="2719"/>
        <w:spacing w:after="0" w:line="249"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do or cause to be done by virtue of this power of attorney and the rights and powers herein granted. The undersigned acknowledges that the foregoing attorneys-in-fact, in serving in such capacity at the request of the undersigned, are not assuming, any of the undersigned's responsibilities to comply with Section 16 of the Securities Exchange Act of 1934.</w:t>
      </w:r>
    </w:p>
    <w:p>
      <w:pPr>
        <w:ind w:right="2499" w:firstLine="520"/>
        <w:spacing w:after="0" w:line="249"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This Power of Attorney shall remain in full force and effect until the undersigned is no longer required to file Form 3, 4, or 5, or unless earlier revoked by the undersigned in a signed writing delivered to the foregoing attorney-in-fact.</w:t>
      </w:r>
    </w:p>
    <w:p>
      <w:pPr>
        <w:ind w:right="3239" w:firstLine="520"/>
        <w:spacing w:after="0" w:line="333"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IN WITNESS WHEREOF, the undersigned has caused this Power of Attorney to be executed as of this 5th day of May, 2022.</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 Timothy Stonehocker</w:t>
      </w:r>
    </w:p>
    <w:p>
      <w:pPr>
        <w:spacing w:after="0" w:line="3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Signature</w:t>
      </w:r>
    </w:p>
    <w:p>
      <w:pPr>
        <w:spacing w:after="0" w:line="37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Timothy Stonehocker</w:t>
      </w:r>
    </w:p>
    <w:p>
      <w:pPr>
        <w:spacing w:after="0" w:line="3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Print Name</w:t>
      </w:r>
    </w:p>
    <w:sectPr>
      <w:pgSz w:w="11900" w:h="16838" w:orient="portrait"/>
      <w:cols w:equalWidth="0" w:num="1">
        <w:col w:w="9999"/>
      </w:cols>
      <w:pgMar w:left="46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921376" TargetMode="External"/><Relationship Id="rId13" Type="http://schemas.openxmlformats.org/officeDocument/2006/relationships/hyperlink" Target="http://www.sec.gov/cgi-bin/browse-edgar?action=getcompany&amp;CIK=000184085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2024-03-21T20:34:15Z</dcterms:created>
  <dcterms:modified xsi:type="dcterms:W3CDTF">2024-03-21T20:34:15Z</dcterms:modified>
</cp:coreProperties>
</file>