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19, 2021 (March 15, 2021)</w:t>
      </w:r>
    </w:p>
    <w:p>
      <w:pPr>
        <w:spacing w:after="0" w:line="225"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0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Delaware</w:t>
            </w:r>
          </w:p>
        </w:tc>
        <w:tc>
          <w:tcPr>
            <w:tcW w:w="444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001-40193</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2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86-1286799</w:t>
            </w:r>
          </w:p>
        </w:tc>
      </w:tr>
      <w:tr>
        <w:trPr>
          <w:trHeight w:val="202"/>
        </w:trPr>
        <w:tc>
          <w:tcPr>
            <w:tcW w:w="3000" w:type="dxa"/>
            <w:vAlign w:val="bottom"/>
            <w:tcBorders>
              <w:top w:val="single" w:sz="8" w:color="auto"/>
            </w:tcBorders>
          </w:tcPr>
          <w:p>
            <w:pPr>
              <w:jc w:val="center"/>
              <w:ind w:left="650"/>
              <w:spacing w:after="0" w:line="201" w:lineRule="exact"/>
              <w:rPr>
                <w:sz w:val="20"/>
                <w:szCs w:val="20"/>
                <w:color w:val="auto"/>
              </w:rPr>
            </w:pPr>
            <w:r>
              <w:rPr>
                <w:rFonts w:ascii="Arial" w:cs="Arial" w:eastAsia="Arial" w:hAnsi="Arial"/>
                <w:sz w:val="18"/>
                <w:szCs w:val="18"/>
                <w:color w:val="auto"/>
                <w:w w:val="92"/>
              </w:rPr>
              <w:t>(State or other jurisdiction</w:t>
            </w: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00" w:type="dxa"/>
            <w:vAlign w:val="bottom"/>
          </w:tcPr>
          <w:p>
            <w:pPr>
              <w:jc w:val="center"/>
              <w:ind w:left="650"/>
              <w:spacing w:after="0"/>
              <w:rPr>
                <w:sz w:val="20"/>
                <w:szCs w:val="20"/>
                <w:color w:val="auto"/>
              </w:rPr>
            </w:pPr>
            <w:r>
              <w:rPr>
                <w:rFonts w:ascii="Arial" w:cs="Arial" w:eastAsia="Arial" w:hAnsi="Arial"/>
                <w:sz w:val="18"/>
                <w:szCs w:val="18"/>
                <w:color w:val="auto"/>
                <w:w w:val="93"/>
              </w:rPr>
              <w:t>of incorporation)</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1"/>
              </w:rPr>
              <w:t>2093 Philadelphia Pike #1968</w:t>
            </w:r>
          </w:p>
        </w:tc>
        <w:tc>
          <w:tcPr>
            <w:tcW w:w="2820" w:type="dxa"/>
            <w:vAlign w:val="bottom"/>
          </w:tcPr>
          <w:p>
            <w:pPr>
              <w:spacing w:after="0"/>
              <w:rPr>
                <w:sz w:val="24"/>
                <w:szCs w:val="24"/>
                <w:color w:val="auto"/>
              </w:rPr>
            </w:pPr>
          </w:p>
        </w:tc>
      </w:tr>
      <w:tr>
        <w:trPr>
          <w:trHeight w:val="220"/>
        </w:trPr>
        <w:tc>
          <w:tcPr>
            <w:tcW w:w="3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2"/>
              </w:rPr>
              <w:t>Claymont, DE 19703</w:t>
            </w:r>
          </w:p>
        </w:tc>
        <w:tc>
          <w:tcPr>
            <w:tcW w:w="282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p>
        </w:tc>
        <w:tc>
          <w:tcPr>
            <w:tcW w:w="542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82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42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(650) 560 4753</w:t>
            </w:r>
          </w:p>
        </w:tc>
        <w:tc>
          <w:tcPr>
            <w:tcW w:w="2820" w:type="dxa"/>
            <w:vAlign w:val="bottom"/>
          </w:tcPr>
          <w:p>
            <w:pPr>
              <w:spacing w:after="0"/>
              <w:rPr>
                <w:sz w:val="24"/>
                <w:szCs w:val="24"/>
                <w:color w:val="auto"/>
              </w:rPr>
            </w:pPr>
          </w:p>
        </w:tc>
      </w:tr>
      <w:tr>
        <w:trPr>
          <w:trHeight w:val="418"/>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2"/>
              </w:rPr>
              <w:t>Not Applicable</w:t>
            </w:r>
          </w:p>
        </w:tc>
        <w:tc>
          <w:tcPr>
            <w:tcW w:w="282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5420" w:type="dxa"/>
            <w:vAlign w:val="bottom"/>
            <w:gridSpan w:val="5"/>
          </w:tcPr>
          <w:p>
            <w:pPr>
              <w:jc w:val="center"/>
              <w:ind w:right="16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82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right="2860" w:hanging="652"/>
        <w:spacing w:after="0" w:line="498" w:lineRule="auto"/>
        <w:tabs>
          <w:tab w:leader="none" w:pos="3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ind w:left="1240"/>
              <w:spacing w:after="0"/>
              <w:rPr>
                <w:sz w:val="20"/>
                <w:szCs w:val="20"/>
                <w:color w:val="auto"/>
              </w:rPr>
            </w:pPr>
            <w:r>
              <w:rPr>
                <w:rFonts w:ascii="Arial" w:cs="Arial" w:eastAsia="Arial" w:hAnsi="Arial"/>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Units, each consisting of one subunit and one-</w:t>
            </w:r>
          </w:p>
        </w:tc>
        <w:tc>
          <w:tcPr>
            <w:tcW w:w="370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89"/>
              </w:rPr>
              <w:t>ATSPU</w:t>
            </w: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quarter of one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Subunits included as part of the units, each</w:t>
            </w:r>
          </w:p>
        </w:tc>
        <w:tc>
          <w:tcPr>
            <w:tcW w:w="370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2"/>
              </w:rPr>
              <w:t>ATSPT</w:t>
            </w: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consisting of one share of common stock, $.0001</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 value, and one-quarter of one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warrants</w:t>
            </w:r>
          </w:p>
        </w:tc>
        <w:tc>
          <w:tcPr>
            <w:tcW w:w="3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ATSPW</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Emerging growth company þ</w:t>
      </w:r>
    </w:p>
    <w:p>
      <w:pPr>
        <w:spacing w:after="0" w:line="225"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On March 15, 2021, the Company consummated its initial public offering (the “</w:t>
      </w:r>
      <w:r>
        <w:rPr>
          <w:rFonts w:ascii="Arial" w:cs="Arial" w:eastAsia="Arial" w:hAnsi="Arial"/>
          <w:sz w:val="17"/>
          <w:szCs w:val="17"/>
          <w:b w:val="1"/>
          <w:bCs w:val="1"/>
          <w:color w:val="auto"/>
        </w:rPr>
        <w:t>IPO</w:t>
      </w:r>
      <w:r>
        <w:rPr>
          <w:rFonts w:ascii="Arial" w:cs="Arial" w:eastAsia="Arial" w:hAnsi="Arial"/>
          <w:sz w:val="17"/>
          <w:szCs w:val="17"/>
          <w:color w:val="auto"/>
        </w:rPr>
        <w:t>”) of 12,000,000 units (the “</w:t>
      </w:r>
      <w:r>
        <w:rPr>
          <w:rFonts w:ascii="Arial" w:cs="Arial" w:eastAsia="Arial" w:hAnsi="Arial"/>
          <w:sz w:val="17"/>
          <w:szCs w:val="17"/>
          <w:b w:val="1"/>
          <w:bCs w:val="1"/>
          <w:color w:val="auto"/>
        </w:rPr>
        <w:t>Units</w:t>
      </w:r>
      <w:r>
        <w:rPr>
          <w:rFonts w:ascii="Arial" w:cs="Arial" w:eastAsia="Arial" w:hAnsi="Arial"/>
          <w:sz w:val="17"/>
          <w:szCs w:val="17"/>
          <w:color w:val="auto"/>
        </w:rPr>
        <w:t>”). Each Unit consists of i) one subunit, which consists of one share of common stock of the Company (“</w:t>
      </w:r>
      <w:r>
        <w:rPr>
          <w:rFonts w:ascii="Arial" w:cs="Arial" w:eastAsia="Arial" w:hAnsi="Arial"/>
          <w:sz w:val="17"/>
          <w:szCs w:val="17"/>
          <w:b w:val="1"/>
          <w:bCs w:val="1"/>
          <w:color w:val="auto"/>
        </w:rPr>
        <w:t>Common Stock</w:t>
      </w:r>
      <w:r>
        <w:rPr>
          <w:rFonts w:ascii="Arial" w:cs="Arial" w:eastAsia="Arial" w:hAnsi="Arial"/>
          <w:sz w:val="17"/>
          <w:szCs w:val="17"/>
          <w:color w:val="auto"/>
        </w:rPr>
        <w:t>”) and one-quarter of one redeemable warrant of the Company (“</w:t>
      </w:r>
      <w:r>
        <w:rPr>
          <w:rFonts w:ascii="Arial" w:cs="Arial" w:eastAsia="Arial" w:hAnsi="Arial"/>
          <w:sz w:val="17"/>
          <w:szCs w:val="17"/>
          <w:b w:val="1"/>
          <w:bCs w:val="1"/>
          <w:color w:val="auto"/>
        </w:rPr>
        <w:t>Warrant</w:t>
      </w:r>
      <w:r>
        <w:rPr>
          <w:rFonts w:ascii="Arial" w:cs="Arial" w:eastAsia="Arial" w:hAnsi="Arial"/>
          <w:sz w:val="17"/>
          <w:szCs w:val="17"/>
          <w:color w:val="auto"/>
        </w:rPr>
        <w:t>”) and ii) one-quarter of one Warrant, with each whole Warrant entitling the holder thereof to purchase one share of Common Stock, par value $0.0001 per share, for $11.50 per share. The Units were sold at a price of $10.00 per Unit, generating gross proceeds to the Company of $120,000,000. The Company paid the underwriters, in aggregate, a fixed underwriting discount of $2,400,000.</w:t>
      </w:r>
    </w:p>
    <w:p>
      <w:pPr>
        <w:spacing w:after="0" w:line="16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On March 15, 2021, simultaneously with the consummation of the IPO, the Company completed the private sale (the “</w:t>
      </w:r>
      <w:r>
        <w:rPr>
          <w:rFonts w:ascii="Arial" w:cs="Arial" w:eastAsia="Arial" w:hAnsi="Arial"/>
          <w:sz w:val="17"/>
          <w:szCs w:val="17"/>
          <w:b w:val="1"/>
          <w:bCs w:val="1"/>
          <w:color w:val="auto"/>
        </w:rPr>
        <w:t>Private Placement</w:t>
      </w:r>
      <w:r>
        <w:rPr>
          <w:rFonts w:ascii="Arial" w:cs="Arial" w:eastAsia="Arial" w:hAnsi="Arial"/>
          <w:sz w:val="17"/>
          <w:szCs w:val="17"/>
          <w:color w:val="auto"/>
        </w:rPr>
        <w:t>”) of an aggregate of 390,000 Units (the “</w:t>
      </w:r>
      <w:r>
        <w:rPr>
          <w:rFonts w:ascii="Arial" w:cs="Arial" w:eastAsia="Arial" w:hAnsi="Arial"/>
          <w:sz w:val="17"/>
          <w:szCs w:val="17"/>
          <w:b w:val="1"/>
          <w:bCs w:val="1"/>
          <w:color w:val="auto"/>
        </w:rPr>
        <w:t>Private Units</w:t>
      </w:r>
      <w:r>
        <w:rPr>
          <w:rFonts w:ascii="Arial" w:cs="Arial" w:eastAsia="Arial" w:hAnsi="Arial"/>
          <w:sz w:val="17"/>
          <w:szCs w:val="17"/>
          <w:color w:val="auto"/>
        </w:rPr>
        <w:t>”) to Archimedes Tech SPAC Sponsors LLC (“</w:t>
      </w:r>
      <w:r>
        <w:rPr>
          <w:rFonts w:ascii="Arial" w:cs="Arial" w:eastAsia="Arial" w:hAnsi="Arial"/>
          <w:sz w:val="17"/>
          <w:szCs w:val="17"/>
          <w:b w:val="1"/>
          <w:bCs w:val="1"/>
          <w:color w:val="auto"/>
        </w:rPr>
        <w:t>Sponsor</w:t>
      </w:r>
      <w:r>
        <w:rPr>
          <w:rFonts w:ascii="Arial" w:cs="Arial" w:eastAsia="Arial" w:hAnsi="Arial"/>
          <w:sz w:val="17"/>
          <w:szCs w:val="17"/>
          <w:color w:val="auto"/>
        </w:rPr>
        <w:t>”) and EarlyBirdCapital, Inc (“</w:t>
      </w:r>
      <w:r>
        <w:rPr>
          <w:rFonts w:ascii="Arial" w:cs="Arial" w:eastAsia="Arial" w:hAnsi="Arial"/>
          <w:sz w:val="17"/>
          <w:szCs w:val="17"/>
          <w:b w:val="1"/>
          <w:bCs w:val="1"/>
          <w:color w:val="auto"/>
        </w:rPr>
        <w:t>EarlyBirdCapital</w:t>
      </w:r>
      <w:r>
        <w:rPr>
          <w:rFonts w:ascii="Arial" w:cs="Arial" w:eastAsia="Arial" w:hAnsi="Arial"/>
          <w:sz w:val="17"/>
          <w:szCs w:val="17"/>
          <w:color w:val="auto"/>
        </w:rPr>
        <w:t>”) at a purchase price of $10.00 per Private Unit, generating gross proceeds to the Company of $3,900,000. EarlyBirdCapital overfunded the purchase of its Private Units by $500,000, resulting in total gross proceeds to the Company of $4,400,000.</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15, 2021, a total of $120,500,000 of the proceeds from the IPO and Private Placement (including the $500,000 of over-funding by EarlyBirdCapital) was held in a U.S.-based trust account at J.P. Morgan, maintained by Continental Stock Transfer &amp; Trust Company, acting as trustee (“</w:t>
      </w:r>
      <w:r>
        <w:rPr>
          <w:rFonts w:ascii="Arial" w:cs="Arial" w:eastAsia="Arial" w:hAnsi="Arial"/>
          <w:sz w:val="18"/>
          <w:szCs w:val="18"/>
          <w:b w:val="1"/>
          <w:bCs w:val="1"/>
          <w:u w:val="single" w:color="auto"/>
          <w:color w:val="auto"/>
        </w:rPr>
        <w:t>JPMorgan Trust</w:t>
      </w:r>
      <w:r>
        <w:rPr>
          <w:rFonts w:ascii="Arial" w:cs="Arial" w:eastAsia="Arial" w:hAnsi="Arial"/>
          <w:sz w:val="18"/>
          <w:szCs w:val="18"/>
          <w:color w:val="auto"/>
        </w:rPr>
        <w:t>”). Of the $120,500,000, $120,000,000 was placed in a U.S.-based trust account at Morgan Stanley, maintained by Continental Stock Transfer&amp; Trust Company, acting as trustee (“</w:t>
      </w:r>
      <w:r>
        <w:rPr>
          <w:rFonts w:ascii="Arial" w:cs="Arial" w:eastAsia="Arial" w:hAnsi="Arial"/>
          <w:sz w:val="18"/>
          <w:szCs w:val="18"/>
          <w:b w:val="1"/>
          <w:bCs w:val="1"/>
          <w:color w:val="auto"/>
        </w:rPr>
        <w:t>Morgan Stanley Trust</w:t>
      </w:r>
      <w:r>
        <w:rPr>
          <w:rFonts w:ascii="Arial" w:cs="Arial" w:eastAsia="Arial" w:hAnsi="Arial"/>
          <w:sz w:val="18"/>
          <w:szCs w:val="18"/>
          <w:color w:val="auto"/>
        </w:rPr>
        <w:t>”) on March 16, 2021 and $500,000 remained at JPMorgan Trust and was repaid to EarlyBirdCapital on March 16, 2021.</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granted the underwriters a 45-day option from the date of the IPO to purchase up to an additional 1,800,000 Public Units to cover over-allotments. On March 19, 2021, the underwriters partially exercised the over-allotment option to purchase 1,300,000 Units. The Units were sold at a price of $10.00 per Unit, generating gross proceeds to the Company of $13,000,000. The Company paid the underwriters, in aggregate, a fixed underwriting discount of $260,000.</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Simultaneously with the exercise of the over-allotment option, the Company completed the Private Placement of an aggregate of 26,000 Private Units to the Sponsor and EarlyBirdCapital, at a purchase price of $10.00 per Private Unit, generating gross proceeds to the Company of $260,000.</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 audited balance sheet as of March 15, 2021 reflecting receipt of the proceeds upon consummation of the IPO and the Private Placement has been issued by the Company and is included as Exhibit 99.1 to this Current Report on Form 8-K.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Audited Balance Sheet as of March 15, 2021</w:t>
        </w:r>
        <w:r>
          <w:rPr>
            <w:rFonts w:ascii="Arial" w:cs="Arial" w:eastAsia="Arial" w:hAnsi="Arial"/>
            <w:sz w:val="16"/>
            <w:szCs w:val="16"/>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Long Long</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19,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2580" w:type="dxa"/>
            <w:vAlign w:val="bottom"/>
            <w:gridSpan w:val="2"/>
          </w:tcPr>
          <w:p>
            <w:pPr>
              <w:ind w:left="1660"/>
              <w:spacing w:after="0"/>
              <w:rPr>
                <w:sz w:val="20"/>
                <w:szCs w:val="20"/>
                <w:color w:val="auto"/>
              </w:rPr>
            </w:pPr>
            <w:r>
              <w:rPr>
                <w:rFonts w:ascii="Arial" w:cs="Arial" w:eastAsia="Arial" w:hAnsi="Arial"/>
                <w:sz w:val="18"/>
                <w:szCs w:val="18"/>
                <w:b w:val="1"/>
                <w:bCs w:val="1"/>
                <w:color w:val="auto"/>
                <w:w w:val="89"/>
              </w:rPr>
              <w:t>Exhibit 99.1</w:t>
            </w:r>
          </w:p>
        </w:tc>
      </w:tr>
      <w:tr>
        <w:trPr>
          <w:trHeight w:val="432"/>
        </w:trPr>
        <w:tc>
          <w:tcPr>
            <w:tcW w:w="8660" w:type="dxa"/>
            <w:vAlign w:val="bottom"/>
          </w:tcPr>
          <w:p>
            <w:pPr>
              <w:jc w:val="center"/>
              <w:ind w:left="2450"/>
              <w:spacing w:after="0"/>
              <w:rPr>
                <w:sz w:val="20"/>
                <w:szCs w:val="20"/>
                <w:color w:val="auto"/>
              </w:rPr>
            </w:pPr>
            <w:r>
              <w:rPr>
                <w:rFonts w:ascii="Arial" w:cs="Arial" w:eastAsia="Arial" w:hAnsi="Arial"/>
                <w:sz w:val="18"/>
                <w:szCs w:val="18"/>
                <w:b w:val="1"/>
                <w:bCs w:val="1"/>
                <w:color w:val="auto"/>
                <w:w w:val="89"/>
              </w:rPr>
              <w:t>Archimedes Tech SPAC Partners Co.</w:t>
            </w:r>
          </w:p>
        </w:tc>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9"/>
        </w:trPr>
        <w:tc>
          <w:tcPr>
            <w:tcW w:w="866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8660" w:type="dxa"/>
            <w:vAlign w:val="bottom"/>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Report of Independent Registered Public Accounting Firm</w:t>
              </w:r>
            </w:hyperlink>
          </w:p>
        </w:tc>
        <w:tc>
          <w:tcPr>
            <w:tcW w:w="19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F-2</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Balance Sheet as of March 15, 2021</w:t>
              </w:r>
            </w:hyperlink>
          </w:p>
        </w:tc>
        <w:tc>
          <w:tcPr>
            <w:tcW w:w="19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6"/>
              </w:rPr>
              <w:t>F-3</w:t>
            </w:r>
          </w:p>
        </w:tc>
      </w:tr>
      <w:tr>
        <w:trPr>
          <w:trHeight w:val="216"/>
        </w:trPr>
        <w:tc>
          <w:tcPr>
            <w:tcW w:w="866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Financial Statement</w:t>
              </w:r>
            </w:hyperlink>
          </w:p>
        </w:tc>
        <w:tc>
          <w:tcPr>
            <w:tcW w:w="19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F-4</w:t>
            </w:r>
          </w:p>
        </w:tc>
      </w:tr>
      <w:tr>
        <w:trPr>
          <w:trHeight w:val="655"/>
        </w:trPr>
        <w:tc>
          <w:tcPr>
            <w:tcW w:w="8660" w:type="dxa"/>
            <w:vAlign w:val="bottom"/>
            <w:tcBorders>
              <w:bottom w:val="single" w:sz="8" w:color="auto"/>
            </w:tcBorders>
          </w:tcPr>
          <w:p>
            <w:pPr>
              <w:jc w:val="center"/>
              <w:ind w:left="2490"/>
              <w:spacing w:after="0"/>
              <w:rPr>
                <w:sz w:val="20"/>
                <w:szCs w:val="20"/>
                <w:color w:val="auto"/>
              </w:rPr>
            </w:pPr>
            <w:r>
              <w:rPr>
                <w:rFonts w:ascii="Arial" w:cs="Arial" w:eastAsia="Arial" w:hAnsi="Arial"/>
                <w:sz w:val="18"/>
                <w:szCs w:val="18"/>
                <w:color w:val="auto"/>
                <w:w w:val="88"/>
              </w:rPr>
              <w:t>F-1</w:t>
            </w:r>
          </w:p>
        </w:tc>
        <w:tc>
          <w:tcPr>
            <w:tcW w:w="1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balance sheet of Archimedes Tech SPAC Partners Co. (the “Company”) as of March 15, 2021, and the related notes (collectively referred to as the “financial statement”). In our opinion, the financial statement presents fairly, in all material respects, the financial position of the Company as of March 15, 2021,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714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w w:val="89"/>
              </w:rPr>
              <w:t>Archimedes Tech SPAC Partners Co.</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714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w w:val="99"/>
              </w:rPr>
              <w:t>BALANCE SHEET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714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w w:val="93"/>
              </w:rPr>
              <w:t>March 15, 2021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6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asset - cash</w:t>
            </w:r>
          </w:p>
        </w:tc>
        <w:tc>
          <w:tcPr>
            <w:tcW w:w="7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1,003,578</w:t>
            </w:r>
          </w:p>
        </w:tc>
      </w:tr>
      <w:tr>
        <w:trPr>
          <w:trHeight w:val="237"/>
        </w:trPr>
        <w:tc>
          <w:tcPr>
            <w:tcW w:w="30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182,932</w:t>
            </w:r>
          </w:p>
        </w:tc>
      </w:tr>
      <w:tr>
        <w:trPr>
          <w:trHeight w:val="216"/>
        </w:trPr>
        <w:tc>
          <w:tcPr>
            <w:tcW w:w="3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6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1,186,510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held in trust account</w:t>
            </w:r>
          </w:p>
        </w:tc>
        <w:tc>
          <w:tcPr>
            <w:tcW w:w="6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120,500,000</w:t>
            </w:r>
          </w:p>
        </w:tc>
        <w:tc>
          <w:tcPr>
            <w:tcW w:w="100" w:type="dxa"/>
            <w:vAlign w:val="bottom"/>
            <w:tcBorders>
              <w:bottom w:val="single" w:sz="8" w:color="CCEEFF"/>
            </w:tcBorders>
          </w:tcPr>
          <w:p>
            <w:pPr>
              <w:spacing w:after="0"/>
              <w:rPr>
                <w:sz w:val="20"/>
                <w:szCs w:val="20"/>
                <w:color w:val="auto"/>
              </w:rPr>
            </w:pPr>
          </w:p>
        </w:tc>
      </w:tr>
      <w:tr>
        <w:trPr>
          <w:trHeight w:val="250"/>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121,686,510</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Accrued offering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Due to EarlyBirdCapital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to related party</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Common stock subject to possible redemption, 11,609,512 shares at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p>
      <w:pPr>
        <w:spacing w:after="0" w:line="9" w:lineRule="exact"/>
        <w:rPr>
          <w:sz w:val="20"/>
          <w:szCs w:val="20"/>
          <w:color w:val="auto"/>
        </w:rPr>
      </w:pPr>
    </w:p>
    <w:p>
      <w:pPr>
        <w:ind w:left="180" w:hanging="161"/>
        <w:spacing w:after="0" w:line="250" w:lineRule="auto"/>
        <w:rPr>
          <w:sz w:val="20"/>
          <w:szCs w:val="20"/>
          <w:color w:val="auto"/>
        </w:rPr>
      </w:pPr>
      <w:r>
        <w:rPr>
          <w:rFonts w:ascii="Arial" w:cs="Arial" w:eastAsia="Arial" w:hAnsi="Arial"/>
          <w:sz w:val="18"/>
          <w:szCs w:val="18"/>
          <w:color w:val="auto"/>
        </w:rPr>
        <w:t>Common stock, $0.0001 par value; 100,000,000 shares authorized; 4,650,488 issued and outstanding (excluding 11,609,512 shares subject to possible redemption)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620" w:hanging="61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89,774</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500,000</w:t>
      </w:r>
    </w:p>
    <w:p>
      <w:pPr>
        <w:spacing w:after="0" w:line="9"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1,613</w:t>
      </w:r>
    </w:p>
    <w:p>
      <w:pPr>
        <w:spacing w:after="0" w:line="3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591,387</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116,095,120</w:t>
      </w:r>
    </w:p>
    <w:p>
      <w:pPr>
        <w:spacing w:after="0" w:line="200" w:lineRule="exact"/>
        <w:rPr>
          <w:sz w:val="20"/>
          <w:szCs w:val="20"/>
          <w:color w:val="auto"/>
        </w:rPr>
      </w:pPr>
    </w:p>
    <w:p>
      <w:pPr>
        <w:spacing w:after="0" w:line="25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465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5,004,068</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(4,530)</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5,000,003</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  121,686,510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029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40" w:space="580"/>
            <w:col w:w="1220"/>
          </w:cols>
          <w:pgMar w:left="320" w:top="904" w:right="339" w:bottom="1440" w:gutter="0" w:footer="0" w:header="0"/>
          <w:type w:val="continuous"/>
        </w:sectPr>
      </w:pPr>
    </w:p>
    <w:p>
      <w:pPr>
        <w:spacing w:after="0" w:line="104" w:lineRule="exact"/>
        <w:rPr>
          <w:sz w:val="20"/>
          <w:szCs w:val="20"/>
          <w:color w:val="auto"/>
        </w:rPr>
      </w:pPr>
    </w:p>
    <w:p>
      <w:pPr>
        <w:jc w:val="center"/>
        <w:ind w:left="3040" w:right="520" w:hanging="3032"/>
        <w:spacing w:after="0" w:line="527" w:lineRule="auto"/>
        <w:tabs>
          <w:tab w:leader="none" w:pos="32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up to 125,000 shares subject to forfeiture if the over-allotment option is not exercised in full or in part by the underwriters (see Note 5). The accompanying notes are an integral part of the financial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Business Operations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None of the Company’s officers, directors, promoters and other affiliates has engaged in any substantive discussions on its behalf with representatives of other companies regarding the possibility of a potential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selected December 31 as its fiscal year end.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15, 2021, the Company had not commenced any operations. All activity for the period from September 15, 2020 (inception) through March 15, 2021 relates to the Company’s formation and the initial public offering (the “IPO”)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sponsor is Archimedes Tech SPAC Sponsors LLC, a Delaware limited liability company (the “Sponsor”).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statement for the Company’s IPO was declared effective on March 10, 2021 (the “Effective Date”). On March 15, 2021, the Company consummated the IPO of 12,000,000 units, (the “Public Units”), at $10.00 per Public Unit, generating gross proceeds of $120,000,000, which is discussed in Note 3.</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Public Unit consists of (i) one subunit (the “Public Subunit”), which consists of one share of common stock (the “Public Shares”) and one-quarter of one warrant (the “Public Warrants”), and (ii) one-quarter of one warrant (the “Public Warrants”); each whole warrant will be exercisable to purchase one share of common stock. Each Private Unit will also consist of (i) one subunit (the “Private Subunits”), which consists of one share of common stock (the “Private Shares”) and one-quarter of one warrant (the “Private Warrants”), and (ii) one-quarter of one warrant (the “Private Warrants”).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EarlyBirdCapital overfunded the purchase of its Private Units by $500,000, resulting in total gross proceeds to the Company of $4,400,000. The $500,000 of over-funding was recorded as a liability on March 15, 2021 and was paid back to EarlyBirdCapital on March 16, 2021 (See Note 8).</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15, 2021, a total of $120,500,000 of the proceeds from the IPO and Private Placement (including the $500,000 of over-funding by EarlyBirdCapital) was held in a U.S.-based trust account at J.P. Morgan, maintained by Continental Stock Transfer &amp; Trust Company, acting as trustee the (the “</w:t>
      </w:r>
      <w:r>
        <w:rPr>
          <w:rFonts w:ascii="Arial" w:cs="Arial" w:eastAsia="Arial" w:hAnsi="Arial"/>
          <w:sz w:val="18"/>
          <w:szCs w:val="18"/>
          <w:u w:val="single" w:color="auto"/>
          <w:color w:val="auto"/>
        </w:rPr>
        <w:t>JPMorgan Trust</w:t>
      </w:r>
      <w:r>
        <w:rPr>
          <w:rFonts w:ascii="Arial" w:cs="Arial" w:eastAsia="Arial" w:hAnsi="Arial"/>
          <w:sz w:val="18"/>
          <w:szCs w:val="18"/>
          <w:color w:val="auto"/>
        </w:rPr>
        <w:t>”). Of the $120,500,000, $120,000,000 was placed in a U.S.-based trust account at Morgan Stanley, maintained by Continental Stock Transfer&amp; Trust Company, acting as trustee (the “Morgan Stanley Trust”) on March 16, 2021 and $500,000 remained at JPMorgan Trust and was repaid to EarlyBirdCapital on March 16, 2021 (See Note 8).</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Transaction costs amounted to $2,825,347 consisting of $2,400,000 of underwriting discount and $425,347 of other offering costs. In addition, $1,003,578 of cash was held outside of the JPMorgan Trust and Morgan Stanley Trust and is available for working capital purposes.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Following the closing of the IPO on March 15, 2021, $120,000,000 from the net proceeds of the sale of the Public Units in the IPO and the sale of the Private Units was placed in the Morgan Stanley Trust on March 16, 2021. $500,000 remained at the JPMorgan Trust and was repaid to EarlyBirdCapital on March 16, 2021 (See Note 8). The funds held in Morgan Stanley Trust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Morgan Stanley Trust that may be released to the Company to pay its income or other tax obligations, the proceeds will not be released from the Morgan Stanley Trust until the earlier of the completion of a Business Combination or the redemption of 100% of the outstanding Public Subunits if the Company has not completed a Business Combination in the required time period. The proceeds held in the Morgan Stanley Trust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73" w:lineRule="auto"/>
        <w:rPr>
          <w:sz w:val="20"/>
          <w:szCs w:val="20"/>
          <w:color w:val="auto"/>
        </w:rPr>
      </w:pPr>
      <w:r>
        <w:rPr>
          <w:rFonts w:ascii="Arial" w:cs="Arial" w:eastAsia="Arial" w:hAnsi="Arial"/>
          <w:sz w:val="17"/>
          <w:szCs w:val="17"/>
          <w:color w:val="auto"/>
        </w:rPr>
        <w:t>The Company must complete one or more initial Business Combinations having an aggregate fair market value of at least 80% of the value of the assets held in the Morgan Stanley Trust (excluding taxes payable on the interest earned on the Morgan Stanley Trust)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Morgan Stanley Trust,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public stockholder will be entitled to receive funds from the Morgan Stanley Trust (including interest earned on his, her or its portion of the Morgan Stanley Trust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Morgan Stanley.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Sponsor has agreed that it will be liable to ensure that the proceeds in the Morgan Stanley Trust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financial position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financial position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 The financial statement does not include any adjustments that might result from the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March 15, 2021, the Company had approximately $1.0 million in its operating bank account, and working capital of approximately $0.6 million.</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liquidity needs up to March 15, 2021 had been satisfied through a payment from the Sponsor of $25,000 (see Note 5) for the Founder Shares, and the loan under an unsecured promissory note from the Sponsor of $125,000 (see Note 5). The promissory note from the Sponsor was fully repaid on March 15, 2021. In addition, in order to finance transaction costs in connection with a Business Combination, the Company’s Sponsor, initial stockholders, officers, directors and their affiliates may, but are not obligated to, provide the Company Working Capital Loans, as defined below (see Note 5). To date, there were no amounts outstanding under any Working Capital Loans.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audited financial statement is presented in conformity with accounting principles generally accepted in the United States of America (“US GAAP”) and pursuant to the rules and regulations of the U.S. Securities and Exchange Commission (the “SEC”).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15,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Held in Trust Accounts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At March 15, 2021, the assets held in the JPMorgan Trust was held in cash. At March 15, 2021, the Company had $120,500,000 in cash held in the JPMorgan Trust.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At March 15, 2021, the Company has not experienced losses on this account and management believes the Company is not exposed to significant risks on such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$2,825,347 have been charged to stockholders’ equity (consisting of $2,400,000 of underwriting discount and $425,347 of other offering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the Company’s assets and liabilities approximates the carrying amounts represented in the accompanying balance sheet, primarily due to their short-term nature.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15, 2021,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were deemed to be de minimis as of March 15,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effective, accounting standards, if currently adopted, would have a material effect on the Company’s financial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IPO on March 15, 2021, the Company sold 12,000,000 Public Units at a purchase price of $10.00 per Public Unit. Each Public Unit consists of (i) one Public Subunit, which consists of one Public Share and one-quarter of one Public Warrant, and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closing of the IPO on March 15, 2021, $120,000,000 from the net proceeds of the sale of the Public Units in the IPO and the sale of the Private Units was placed in the Morgan Stanley Trust on March 16, 2021. $500,000 remained at the JPMorgan Trust and was repaid to EarlyBirdCapital on March 16, 2021 (See Note 8). The funds held in Morgan Stanley Trust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granted the underwriters a 45-day option from the date of the IPO to purchase up to an additional 1,800,000 Public Units to cover over-allotments. On March 19, 2021, the underwriters partially exercised the over-allotment option to purchase 1,300,000 Public Units, at a purchase price of $10.00 per Public Unit, generating gross proceeds to the Company of $13,000,000 (See Note 8).</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 Private Placement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 EarlyBirdCapital overfunded the purchase of its Private Units by $500,000, resulting in total gross proceeds to the Company of $4,400,000. The $500,000 of over-funding was recorded as a liability on March 15, 2021 and was paid back to EarlyBirdCapital on March 16, 2021 (See Note 8).</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 (See Note 8).</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Company’s sponsor if the underwriters’ over-allotment option is not exercised in full). On March 19, 2021, the underwriters partially exercised the over-allotment option to purchase 1,300,000 Public Units. As a result, 125,000 founder shares are still subject to forfeiture.</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date of the IPO, the Founder Shares were placed into an escrow account maintained in New York, New York by Continental Stock Transfer &amp;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shareholders having the right to exchange their shares of common stock for cash, securities or other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to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balance of $1,613 represents the amount accrued for the administrative support services provided by affiliate of the Chief Executive Officer.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to EarlyBirdCapital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the Private Placement, $3,900,000 of cash was supposed to be placed in the JPMorgan Trust. EarlyBirdCapital overfunded $500,000 to the JPMorgan Trust. The amount was recorded as a liability on March 15, 2021 and was paid back to EarlyBirdCapital on March 16,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January 4, 2021, the Sponsor agreed to loan the Company up to $300,000 to be used for a portion of the expenses of the IPO (the “Promissory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loans were non-interest bearing, unsecured and were due at the earlier of March 31, 2021 or the closing of the IPO.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8"/>
          <w:szCs w:val="18"/>
          <w:color w:val="auto"/>
        </w:rPr>
        <w:t>On February 1, 2021, the Sponsor loaned to the Company $100,000 pursuant to the Promissory Note. On February 10, 2021, the Sponsor funded to the Company an additional $25,000 pursuant to the Promissory Note, for an aggregate amount of $125,000. On March 15, 2021, the Promissory Note in an aggregate amount of $125,000 was fully paid.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March 15, 2021, no such Working Capital Loans were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As of March 15, 2021, the Company has recorded $1,613 for the period from March 10, 2021 through March 15,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and were, in aggregate, paid a fixed underwriting discount of $260,000.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might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13, 2021, the Company has issued to EarlyBirdCapital and its designees an aggregate of 350,000 representative shares at $0.0001 per share (the “Representative Shares”).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at par value of $0.0001 per share. As of March 15, 2021,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no shares of preferred stock issued or outstanding.</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100,000,000 shares of common stock with a par value of $0.0001 per share. At March 15,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were 4,650,488 shares of common stock issued and outstanding, excluding 11,609,512 shares of common stock subject to possible redemption.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 Each whole warrant entitles the holder to purchase one common stock at a price of $11.50 per share, subject to adjustment as discussed below,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8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March 19, 2021, the date that the financial statement was issued. Other than described below, the Company did not identify any subsequent events that would have required adjustment or disclosure in the financial statement.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16, 2021, the Company repaid EarlyBirdCapital its $500,000 of overfunding through the Company’s remaining funds in the JPMorgan Trust Account.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19, 2021, the Underwriters partially exercised the over-allotment option to purchase 1,300,000 Public Units and were, in aggregate, paid a fixed underwriting discount of $260,000. As a result, 125,000 founder shares are still subject to forfeiture. Pursuant to the underwriters’ partial exercise of the over-allotment option on March 19, 2021, the Sponsor and EarlyBirdCapital purchased an additional 26,000 Private Units.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2021-03-19T16:05:01Z</dcterms:created>
  <dcterms:modified xsi:type="dcterms:W3CDTF">2021-03-19T16:05:01Z</dcterms:modified>
</cp:coreProperties>
</file>