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571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571690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32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STONEHOCKER TIMOTHY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06/16/2023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34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26" w:right="439" w:bottom="1440" w:gutter="0" w:footer="0" w:header="0"/>
          <w:type w:val="continuous"/>
        </w:sectPr>
      </w:pP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00" w:type="dxa"/>
            <w:vAlign w:val="bottom"/>
          </w:tcPr>
          <w:p>
            <w:pPr>
              <w:jc w:val="center"/>
              <w:ind w:left="506"/>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0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2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700" w:type="dxa"/>
            <w:vAlign w:val="bottom"/>
            <w:tcBorders>
              <w:bottom w:val="single" w:sz="8" w:color="2C2C2C"/>
            </w:tcBorders>
          </w:tcPr>
          <w:p>
            <w:pPr>
              <w:jc w:val="center"/>
              <w:ind w:left="506"/>
              <w:spacing w:after="0"/>
              <w:rPr>
                <w:sz w:val="20"/>
                <w:szCs w:val="20"/>
                <w:color w:val="auto"/>
              </w:rPr>
            </w:pPr>
            <w:r>
              <w:rPr>
                <w:rFonts w:ascii="Arial" w:cs="Arial" w:eastAsia="Arial" w:hAnsi="Arial"/>
                <w:sz w:val="18"/>
                <w:szCs w:val="18"/>
                <w:color w:val="0000FF"/>
                <w:w w:val="88"/>
              </w:rPr>
              <w:t>06/16/2023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3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50,000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3.5001</w:t>
            </w:r>
          </w:p>
        </w:tc>
        <w:tc>
          <w:tcPr>
            <w:tcW w:w="10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884,303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700" w:type="dxa"/>
            <w:vAlign w:val="bottom"/>
            <w:tcBorders>
              <w:bottom w:val="single" w:sz="8" w:color="2C2C2C"/>
            </w:tcBorders>
          </w:tcPr>
          <w:p>
            <w:pPr>
              <w:jc w:val="center"/>
              <w:ind w:left="506"/>
              <w:spacing w:after="0"/>
              <w:rPr>
                <w:sz w:val="20"/>
                <w:szCs w:val="20"/>
                <w:color w:val="auto"/>
              </w:rPr>
            </w:pPr>
            <w:r>
              <w:rPr>
                <w:rFonts w:ascii="Arial" w:cs="Arial" w:eastAsia="Arial" w:hAnsi="Arial"/>
                <w:sz w:val="18"/>
                <w:szCs w:val="18"/>
                <w:color w:val="0000FF"/>
                <w:w w:val="88"/>
              </w:rPr>
              <w:t>06/20/2023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3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50,000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4</w:t>
            </w:r>
          </w:p>
        </w:tc>
        <w:tc>
          <w:tcPr>
            <w:tcW w:w="10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834,303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700" w:type="dxa"/>
            <w:vAlign w:val="bottom"/>
            <w:tcBorders>
              <w:bottom w:val="single" w:sz="8" w:color="2C2C2C"/>
            </w:tcBorders>
          </w:tcPr>
          <w:p>
            <w:pPr>
              <w:jc w:val="center"/>
              <w:ind w:left="506"/>
              <w:spacing w:after="0"/>
              <w:rPr>
                <w:sz w:val="20"/>
                <w:szCs w:val="20"/>
                <w:color w:val="auto"/>
              </w:rPr>
            </w:pPr>
            <w:r>
              <w:rPr>
                <w:rFonts w:ascii="Arial" w:cs="Arial" w:eastAsia="Arial" w:hAnsi="Arial"/>
                <w:sz w:val="18"/>
                <w:szCs w:val="18"/>
                <w:color w:val="0000FF"/>
                <w:w w:val="88"/>
              </w:rPr>
              <w:t>06/21/2023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39"/>
              <w:spacing w:after="0"/>
              <w:rPr>
                <w:sz w:val="20"/>
                <w:szCs w:val="20"/>
                <w:color w:val="auto"/>
              </w:rPr>
            </w:pPr>
            <w:r>
              <w:rPr>
                <w:rFonts w:ascii="Arial" w:cs="Arial" w:eastAsia="Arial" w:hAnsi="Arial"/>
                <w:sz w:val="14"/>
                <w:szCs w:val="14"/>
                <w:color w:val="0000FF"/>
                <w:w w:val="85"/>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4,178</w:t>
            </w:r>
            <w:r>
              <w:rPr>
                <w:rFonts w:ascii="Arial" w:cs="Arial" w:eastAsia="Arial" w:hAnsi="Arial"/>
                <w:sz w:val="22"/>
                <w:szCs w:val="22"/>
                <w:color w:val="008000"/>
                <w:w w:val="82"/>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3.6609</w:t>
            </w:r>
          </w:p>
        </w:tc>
        <w:tc>
          <w:tcPr>
            <w:tcW w:w="10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830,125</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adopted by the reporting person in March 2023.</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herein was made to satisfy tax withholding obligations in connection with the vesting of shares of restricted stock units granted to the reporting person on August 4, 2022 and September 7,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STONEHOCKER</w:t>
      </w:r>
      <w:r>
        <w:rPr>
          <w:sz w:val="20"/>
          <w:szCs w:val="20"/>
          <w:color w:val="auto"/>
        </w:rPr>
        <w:tab/>
      </w: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14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26" w:right="439" w:bottom="1440" w:gutter="0" w:footer="0" w:header="0"/>
          <w:type w:val="continuous"/>
        </w:sectPr>
      </w:pPr>
    </w:p>
    <w:bookmarkStart w:id="1" w:name="page2"/>
    <w:bookmarkEnd w:id="1"/>
    <w:p>
      <w:pPr>
        <w:ind w:right="299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STONEHOCKER TIMOTHY - CIK # 0001921376</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2023-06-21T20:18:48Z</dcterms:created>
  <dcterms:modified xsi:type="dcterms:W3CDTF">2023-06-21T20:18:48Z</dcterms:modified>
</cp:coreProperties>
</file>