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252547-s8_soundhound.htm"/>
      <w:bookmarkStart w:id="1" w:name="ksea0252547s8_soundhound"/>
      <w:bookmarkEnd w:id="0"/>
      <w:bookmarkEnd w:id="1"/>
      <w:r>
        <w:rPr>
          <w:b/>
        </w:rPr>
        <w:t>As filed with the Securities and Exchange Commission on August 11, 2025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333-_________</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2525"/>
        <w:gridCol w:w="60"/>
        <w:gridCol w:w="153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86-1286799</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95054</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 2022 Equity Incentive Plan</w:t>
      </w:r>
    </w:p>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Keyvan Mohajer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5400 Betsy Ross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Santa Clara, CA 95054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 441-3200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Douglas Ellenoff, Esq.</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Bernstein,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Ellenoff Grossman &amp; Schole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 Avenue of the Americas, 11th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370-1300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Facsimile: (212) 370-7889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20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REGISTRATION OF ADDITIONAL SECURITIES PURSUANT TO GENERAL INSTRUCTION E OF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Registration Statement is being filed by SoundHound AI, Inc., a Delaware corporation (the “Registrant,” the “Company,” “us,” “our,” or “we”), to register an additional 18,038,282 shares of our Class A common stock, par value $0.0001 per share (the “Common Stock”), which may be offered and sold pursuant to the SoundHound AI, Inc. 2022 Equity Incentive Plan (the “2022 Incentive Plan”) in connection with an increase in the number of shares available for issuance under such plan pursuant to the evergreen provision included therein. </w:t>
      </w:r>
      <w:r>
        <w:rPr>
          <w:rFonts w:ascii="Times New Roman;Times;Serif" w:hAnsi="Times New Roman;Times;Serif"/>
          <w:b w:val="false"/>
          <w:i w:val="false"/>
          <w:caps w:val="false"/>
          <w:smallCaps w:val="false"/>
          <w:sz w:val="20"/>
          <w:shd w:fill="FFFFFF" w:val="clear"/>
        </w:rPr>
        <w:t> In accordance with the instructional note to Part I of Form S-8 as promulgated by the Securities and Exchange Commission (the “Commission”), the information specified by Part I of the Form S-8 has been omitted from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360"/>
        <w:jc w:val="both"/>
        <w:rPr/>
      </w:pPr>
      <w:r>
        <w:rPr>
          <w:rFonts w:ascii="Times New Roman;Times;Serif" w:hAnsi="Times New Roman;Times;Serif"/>
          <w:b w:val="false"/>
          <w:i w:val="false"/>
          <w:caps w:val="false"/>
          <w:smallCaps w:val="false"/>
          <w:sz w:val="20"/>
          <w:shd w:fill="FFFFFF" w:val="clear"/>
        </w:rPr>
        <w:t xml:space="preserve">The Registrant previously registered shares of its Common Stock for issuance under the 2022 Incentive Plan, the SoundHound AI, Inc. </w:t>
      </w:r>
      <w:r>
        <w:rPr>
          <w:rFonts w:ascii="Times New Roman;Times;Serif" w:hAnsi="Times New Roman;Times;Serif"/>
          <w:b w:val="false"/>
          <w:i w:val="false"/>
          <w:caps w:val="false"/>
          <w:smallCaps w:val="false"/>
          <w:sz w:val="20"/>
        </w:rPr>
        <w:t>2022 Employee Stock Purchase Plan</w:t>
      </w:r>
      <w:r>
        <w:rPr>
          <w:rFonts w:ascii="Times New Roman;Times;Serif" w:hAnsi="Times New Roman;Times;Serif"/>
          <w:b w:val="false"/>
          <w:i w:val="false"/>
          <w:caps w:val="false"/>
          <w:smallCaps w:val="false"/>
          <w:sz w:val="20"/>
          <w:shd w:fill="FFFFFF" w:val="clear"/>
        </w:rPr>
        <w:t xml:space="preserve">, the </w:t>
      </w:r>
      <w:r>
        <w:rPr>
          <w:rFonts w:ascii="Times New Roman;Times;Serif" w:hAnsi="Times New Roman;Times;Serif"/>
          <w:b w:val="false"/>
          <w:i w:val="false"/>
          <w:caps w:val="false"/>
          <w:smallCaps w:val="false"/>
          <w:sz w:val="20"/>
        </w:rPr>
        <w:t xml:space="preserve">SoundHound, Inc. 2016 Equity Incentive Plan, and the Melodis Corporation 2006 Stock Plan </w:t>
      </w:r>
      <w:r>
        <w:rPr>
          <w:rFonts w:ascii="Times New Roman;Times;Serif" w:hAnsi="Times New Roman;Times;Serif"/>
          <w:b w:val="false"/>
          <w:i w:val="false"/>
          <w:caps w:val="false"/>
          <w:smallCaps w:val="false"/>
          <w:sz w:val="20"/>
          <w:shd w:fill="FFFFFF" w:val="clear"/>
        </w:rPr>
        <w:t>on a Registration Statement on </w:t>
      </w:r>
      <w:hyperlink r:id="rId2">
        <w:r>
          <w:rPr>
            <w:rStyle w:val="InternetLink"/>
            <w:rFonts w:ascii="Times New Roman;Times;Serif" w:hAnsi="Times New Roman;Times;Serif"/>
            <w:b w:val="false"/>
            <w:i w:val="false"/>
            <w:caps w:val="false"/>
            <w:smallCaps w:val="false"/>
            <w:sz w:val="20"/>
            <w:shd w:fill="FFFFFF" w:val="clear"/>
          </w:rPr>
          <w:t>Form S-8</w:t>
        </w:r>
      </w:hyperlink>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filed with the Commission on July 20, 2022 (File No. 333-266239) and a Registration Statement on </w:t>
      </w:r>
      <w:hyperlink r:id="rId3">
        <w:r>
          <w:rPr>
            <w:rStyle w:val="InternetLink"/>
            <w:rFonts w:ascii="Times New Roman;Times;Serif" w:hAnsi="Times New Roman;Times;Serif"/>
            <w:b w:val="false"/>
            <w:i w:val="false"/>
            <w:caps w:val="false"/>
            <w:smallCaps w:val="false"/>
            <w:sz w:val="20"/>
            <w:shd w:fill="FFFFFF" w:val="clear"/>
          </w:rPr>
          <w:t>Form S-8</w:t>
        </w:r>
      </w:hyperlink>
      <w:r>
        <w:rPr>
          <w:rFonts w:ascii="Times New Roman;Times;Serif" w:hAnsi="Times New Roman;Times;Serif"/>
          <w:b w:val="false"/>
          <w:i w:val="false"/>
          <w:caps w:val="false"/>
          <w:smallCaps w:val="false"/>
          <w:sz w:val="20"/>
          <w:shd w:fill="FFFFFF" w:val="clear"/>
        </w:rPr>
        <w:t xml:space="preserve"> filed with the Commission on April 8, 2024 (File No. 333-278547) (collectively, the “Prior Registration Statements”). Pursuant to General Instruction E to Form S-8, this Registration Statement hereby incorporates by reference the contents of the Prior Registration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in this prospectus certain documents we file with the Commission, which means that we can disclose important information to you by referring you to those documents. The information in the documents incorporated by reference is considered to be part of this prospectus. Statements contained in documents that we file with the Commission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Commission and they are incorporated herein by reference as of their respective dates of filing.</w:t>
      </w:r>
    </w:p>
    <w:p>
      <w:pPr>
        <w:pStyle w:val="TextBody"/>
        <w:shd w:fill="FFFFFF" w:val="clear"/>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2"/>
        <w:gridCol w:w="9828"/>
      </w:tblGrid>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sz w:val="20"/>
              </w:rPr>
            </w:pPr>
            <w:r>
              <w:rPr>
                <w:sz w:val="20"/>
              </w:rPr>
              <w:t>(i)</w:t>
            </w:r>
          </w:p>
        </w:tc>
        <w:tc>
          <w:tcPr>
            <w:tcW w:w="9828" w:type="dxa"/>
            <w:tcBorders/>
            <w:vAlign w:val="center"/>
          </w:tcPr>
          <w:p>
            <w:pPr>
              <w:pStyle w:val="TableContents"/>
              <w:bidi w:val="0"/>
              <w:spacing w:before="0" w:after="283"/>
              <w:jc w:val="both"/>
              <w:rPr/>
            </w:pPr>
            <w:r>
              <w:rPr>
                <w:sz w:val="20"/>
              </w:rPr>
              <w:t xml:space="preserve">our Annual Report on </w:t>
            </w:r>
            <w:hyperlink r:id="rId4">
              <w:r>
                <w:rPr>
                  <w:rStyle w:val="InternetLink"/>
                  <w:sz w:val="20"/>
                </w:rPr>
                <w:t>Form 10-K</w:t>
              </w:r>
            </w:hyperlink>
            <w:r>
              <w:rPr>
                <w:sz w:val="20"/>
              </w:rPr>
              <w:t xml:space="preserve"> for the year ended December 31, 2024, filed on March 11, 2025 (“Form 10-K”);</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pPr>
            <w:r>
              <w:rPr/>
              <w:t> </w:t>
            </w:r>
          </w:p>
        </w:tc>
        <w:tc>
          <w:tcPr>
            <w:tcW w:w="98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sz w:val="20"/>
              </w:rPr>
            </w:pPr>
            <w:r>
              <w:rPr>
                <w:sz w:val="20"/>
              </w:rPr>
              <w:t>(ii)</w:t>
            </w:r>
          </w:p>
        </w:tc>
        <w:tc>
          <w:tcPr>
            <w:tcW w:w="9828" w:type="dxa"/>
            <w:tcBorders/>
            <w:vAlign w:val="center"/>
          </w:tcPr>
          <w:p>
            <w:pPr>
              <w:pStyle w:val="TableContents"/>
              <w:bidi w:val="0"/>
              <w:spacing w:before="0" w:after="283"/>
              <w:jc w:val="both"/>
              <w:rPr/>
            </w:pPr>
            <w:r>
              <w:rPr>
                <w:sz w:val="20"/>
              </w:rPr>
              <w:t xml:space="preserve">Our Quarterly Reports on Form 10-Q for the period ended March 31, 2025, filed on </w:t>
            </w:r>
            <w:hyperlink r:id="rId5">
              <w:r>
                <w:rPr>
                  <w:rStyle w:val="InternetLink"/>
                  <w:sz w:val="20"/>
                </w:rPr>
                <w:t>May 12, 2025</w:t>
              </w:r>
            </w:hyperlink>
            <w:r>
              <w:rPr>
                <w:sz w:val="20"/>
              </w:rPr>
              <w:t xml:space="preserve">, and for the period ended June 30, 2025, filed on </w:t>
            </w:r>
            <w:hyperlink r:id="rId6">
              <w:r>
                <w:rPr>
                  <w:rStyle w:val="InternetLink"/>
                  <w:sz w:val="20"/>
                </w:rPr>
                <w:t>August 11, 2025</w:t>
              </w:r>
            </w:hyperlink>
            <w:r>
              <w:rPr>
                <w:sz w:val="20"/>
              </w:rPr>
              <w:t>;</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pPr>
            <w:r>
              <w:rPr/>
              <w:t> </w:t>
            </w:r>
          </w:p>
        </w:tc>
        <w:tc>
          <w:tcPr>
            <w:tcW w:w="98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sz w:val="20"/>
              </w:rPr>
            </w:pPr>
            <w:r>
              <w:rPr>
                <w:sz w:val="20"/>
              </w:rPr>
              <w:t>(iii)</w:t>
            </w:r>
          </w:p>
        </w:tc>
        <w:tc>
          <w:tcPr>
            <w:tcW w:w="9828" w:type="dxa"/>
            <w:tcBorders/>
            <w:vAlign w:val="center"/>
          </w:tcPr>
          <w:p>
            <w:pPr>
              <w:pStyle w:val="TableContents"/>
              <w:bidi w:val="0"/>
              <w:spacing w:before="0" w:after="283"/>
              <w:jc w:val="both"/>
              <w:rPr/>
            </w:pPr>
            <w:r>
              <w:rPr>
                <w:sz w:val="20"/>
              </w:rPr>
              <w:t xml:space="preserve">our Definitive Proxy Statements on </w:t>
            </w:r>
            <w:hyperlink r:id="rId7">
              <w:r>
                <w:rPr>
                  <w:rStyle w:val="InternetLink"/>
                  <w:sz w:val="20"/>
                </w:rPr>
                <w:t>Schedule 14A</w:t>
              </w:r>
            </w:hyperlink>
            <w:r>
              <w:rPr>
                <w:sz w:val="20"/>
              </w:rPr>
              <w:t xml:space="preserve"> filed on April 28, 2025;</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pPr>
            <w:r>
              <w:rPr/>
              <w:t> </w:t>
            </w:r>
          </w:p>
        </w:tc>
        <w:tc>
          <w:tcPr>
            <w:tcW w:w="98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sz w:val="20"/>
              </w:rPr>
            </w:pPr>
            <w:r>
              <w:rPr>
                <w:sz w:val="20"/>
              </w:rPr>
              <w:t>(iv)</w:t>
            </w:r>
          </w:p>
        </w:tc>
        <w:tc>
          <w:tcPr>
            <w:tcW w:w="9828" w:type="dxa"/>
            <w:tcBorders/>
            <w:vAlign w:val="center"/>
          </w:tcPr>
          <w:p>
            <w:pPr>
              <w:pStyle w:val="TableContents"/>
              <w:bidi w:val="0"/>
              <w:spacing w:before="0" w:after="283"/>
              <w:jc w:val="both"/>
              <w:rPr/>
            </w:pPr>
            <w:r>
              <w:rPr>
                <w:sz w:val="20"/>
              </w:rPr>
              <w:t xml:space="preserve">our Current Report on Form 8-K filed on </w:t>
            </w:r>
            <w:hyperlink r:id="rId8">
              <w:r>
                <w:rPr>
                  <w:rStyle w:val="InternetLink"/>
                  <w:sz w:val="20"/>
                </w:rPr>
                <w:t>May 30, 2025</w:t>
              </w:r>
            </w:hyperlink>
            <w:r>
              <w:rPr>
                <w:sz w:val="20"/>
              </w:rPr>
              <w:t>; and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pPr>
            <w:r>
              <w:rPr/>
              <w:t> </w:t>
            </w:r>
          </w:p>
        </w:tc>
        <w:tc>
          <w:tcPr>
            <w:tcW w:w="98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both"/>
              <w:rPr>
                <w:sz w:val="20"/>
              </w:rPr>
            </w:pPr>
            <w:r>
              <w:rPr>
                <w:sz w:val="20"/>
              </w:rPr>
              <w:t>(v)</w:t>
            </w:r>
          </w:p>
        </w:tc>
        <w:tc>
          <w:tcPr>
            <w:tcW w:w="9828" w:type="dxa"/>
            <w:tcBorders/>
            <w:vAlign w:val="center"/>
          </w:tcPr>
          <w:p>
            <w:pPr>
              <w:pStyle w:val="TableContents"/>
              <w:bidi w:val="0"/>
              <w:spacing w:before="0" w:after="283"/>
              <w:jc w:val="both"/>
              <w:rPr/>
            </w:pPr>
            <w:r>
              <w:rPr>
                <w:sz w:val="20"/>
              </w:rPr>
              <w:t xml:space="preserve">the description of our Common Stock contained in </w:t>
            </w:r>
            <w:hyperlink r:id="rId9">
              <w:r>
                <w:rPr>
                  <w:rStyle w:val="InternetLink"/>
                  <w:sz w:val="20"/>
                </w:rPr>
                <w:t>Exhibit 4.6</w:t>
              </w:r>
            </w:hyperlink>
            <w:r>
              <w:rPr>
                <w:sz w:val="20"/>
              </w:rPr>
              <w:t xml:space="preserve"> to Form 10-K.</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we filed with the Commission pursuant to Sections 13(a), 13(c), 14, and 15(d) of the Securities Exchange Act of 1934, as amended (the “Exchange Act”) subsequent to the date of this prospectus that indicates that all securities offered under this prospectus have been sold, or that deregisters all securities then remaining unsold, will be deemed to be incorporated in this prospectus by reference and to be a part hereof from the date of filing of such documents.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Commission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orally or in writing, a copy of these documents, which will be provided to you at no cost (other than exhibits, unless such exhibits are specifically incorporated by reference), by contacting Corporate Secretary, c/o SoundHound AI, Inc., at 5400 Betsy Ross Drive, Santa Clara, CA 95054. Our telephone number is (408) 441-3200. Information about us is also available at our website at http://www.soundhound.com. However, the information on our website is not a part of this prospectus and is not incorporated by reference.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Description of Securities</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Interests of Named Experts and Counsel</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Officers and Directors</w:t>
      </w:r>
    </w:p>
    <w:p>
      <w:pPr>
        <w:pStyle w:val="TextBody"/>
        <w:bidi w:val="0"/>
        <w:spacing w:before="0" w:after="0"/>
        <w:ind w:left="0" w:right="0" w:firstLine="648"/>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 of the Delaware General Corporation Law, we have adopted provisions in our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shd w:fill="FFFFFF" w:val="clear"/>
        <w:bidi w:val="0"/>
        <w:spacing w:before="0" w:after="0"/>
        <w:ind w:left="960" w:right="0" w:hanging="48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any breach of the director’s duty of loyalty to us or our stockholders;</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sz w:val="20"/>
              </w:rPr>
            </w:pPr>
            <w:r>
              <w:rPr>
                <w:sz w:val="20"/>
              </w:rPr>
              <w:t>any act or omission not in good faith or that involves intentional misconduct or a knowing violation of law;</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sz w:val="20"/>
              </w:rPr>
            </w:pPr>
            <w:r>
              <w:rPr>
                <w:sz w:val="20"/>
              </w:rPr>
              <w:t>any act related to unlawful stock repurchases, redemptions or other distributions or payment of dividends; or</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sz w:val="20"/>
              </w:rPr>
            </w:pPr>
            <w:r>
              <w:rPr>
                <w:sz w:val="20"/>
              </w:rPr>
              <w:t>any transaction from which the director derived an improper personal benefit.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we have adopted provisions in our Restated Certificate of Incorporation to provide limit or eliminate monetary liability of certain officers of the Company for certain breaches of the fiduciary duty of care to the fullest extent permitted by the Delaware General Corporation Law. In accordance with Delaware law, our Restated Certificate of Incorporation exculpates certain officers only in connection with direct claims brought by stockholders, including class actions, and does not eliminate or limit liability for breaches of the duty of loyalty, acts or omissions not in good faith or that involve intentional misconduct or a knowing violation of law, or any transaction in which the officer derived an improper personal benefit. Nor does our Restated Certificate of Incorporation exculpate such officers from liability for claims brought by or in the right of the corporation, such as derivative claims.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affect the availability of equitable remedies such as injunctive relief or rescission. Our Restated Certificate of Incorporation also authorizes us to indemnify our officers, directors and other agents to the fullest extent permitted under Delaware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 of the Delaware General Corporation Law, our Amended and Restated Bylaws provide that:</w:t>
      </w:r>
    </w:p>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may indemnify our directors, officers and employees to the fullest extent permitted by the Delaware General Corporation Law, subject to limited exceptions;</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we may advance expenses to our directors, officers and employees in connection with a legal proceeding to the fullest extent permitted by the Delaware General Corporation Law, subject to limited exceptions; and</w:t>
            </w:r>
          </w:p>
        </w:tc>
      </w:tr>
    </w:tbl>
    <w:p>
      <w:pPr>
        <w:pStyle w:val="TextBody"/>
        <w:shd w:fill="FFFFFF" w:val="clear"/>
        <w:bidi w:val="0"/>
        <w:spacing w:before="0" w:after="0"/>
        <w:ind w:left="960" w:right="0" w:hanging="48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70"/>
        <w:gridCol w:w="50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both"/>
              <w:rPr>
                <w:sz w:val="20"/>
              </w:rPr>
            </w:pPr>
            <w:r>
              <w:rPr>
                <w:sz w:val="20"/>
              </w:rPr>
              <w:t>the rights provided in our Amended Bylaws are not exclusive.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Exemption from Registration Claimed</w:t>
      </w:r>
    </w:p>
    <w:p>
      <w:pPr>
        <w:pStyle w:val="TextBody"/>
        <w:bidi w:val="0"/>
        <w:spacing w:before="0" w:after="0"/>
        <w:ind w:left="0" w:right="0" w:firstLine="441"/>
        <w:jc w:val="both"/>
        <w:rPr>
          <w:caps w:val="false"/>
          <w:smallCaps w:val="false"/>
        </w:rPr>
      </w:pPr>
      <w:r>
        <w:rPr>
          <w:caps w:val="false"/>
          <w:smallCaps w:val="false"/>
        </w:rPr>
        <w:t> </w:t>
      </w:r>
    </w:p>
    <w:p>
      <w:pPr>
        <w:pStyle w:val="TextBody"/>
        <w:bidi w:val="0"/>
        <w:spacing w:before="0" w:after="0"/>
        <w:ind w:left="0" w:right="0" w:firstLine="4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firstLine="441"/>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spacing w:before="0" w:after="0"/>
        <w:ind w:left="0" w:right="0" w:firstLine="441"/>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25"/>
        <w:gridCol w:w="60"/>
        <w:gridCol w:w="5690"/>
        <w:gridCol w:w="60"/>
        <w:gridCol w:w="1355"/>
        <w:gridCol w:w="60"/>
        <w:gridCol w:w="740"/>
        <w:gridCol w:w="60"/>
        <w:gridCol w:w="1115"/>
      </w:tblGrid>
      <w:tr>
        <w:trPr/>
        <w:tc>
          <w:tcPr>
            <w:tcW w:w="725" w:type="dxa"/>
            <w:tcBorders/>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center"/>
              <w:rPr/>
            </w:pPr>
            <w:r>
              <w:rPr/>
              <w:t> </w:t>
            </w:r>
          </w:p>
        </w:tc>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30" w:type="dxa"/>
            <w:gridSpan w:val="5"/>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r>
      <w:tr>
        <w:trPr/>
        <w:tc>
          <w:tcPr>
            <w:tcW w:w="72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Number</w:t>
            </w:r>
          </w:p>
        </w:tc>
        <w:tc>
          <w:tcPr>
            <w:tcW w:w="60" w:type="dxa"/>
            <w:tcBorders/>
            <w:vAlign w:val="center"/>
          </w:tcPr>
          <w:p>
            <w:pPr>
              <w:pStyle w:val="TableContents"/>
              <w:bidi w:val="0"/>
              <w:spacing w:before="0" w:after="283"/>
              <w:jc w:val="center"/>
              <w:rPr/>
            </w:pPr>
            <w:r>
              <w:rPr/>
              <w:t> </w:t>
            </w:r>
          </w:p>
        </w:tc>
        <w:tc>
          <w:tcPr>
            <w:tcW w:w="569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center"/>
              <w:rPr/>
            </w:pPr>
            <w:r>
              <w:rPr/>
              <w:t> </w:t>
            </w:r>
          </w:p>
        </w:tc>
        <w:tc>
          <w:tcPr>
            <w:tcW w:w="13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Form</w:t>
            </w:r>
          </w:p>
        </w:tc>
        <w:tc>
          <w:tcPr>
            <w:tcW w:w="60" w:type="dxa"/>
            <w:tcBorders/>
            <w:vAlign w:val="center"/>
          </w:tcPr>
          <w:p>
            <w:pPr>
              <w:pStyle w:val="TableContents"/>
              <w:bidi w:val="0"/>
              <w:spacing w:before="0" w:after="283"/>
              <w:jc w:val="center"/>
              <w:rPr/>
            </w:pPr>
            <w:r>
              <w:rPr/>
              <w:t> </w:t>
            </w:r>
          </w:p>
        </w:tc>
        <w:tc>
          <w:tcPr>
            <w:tcW w:w="74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Exhibit</w:t>
            </w:r>
          </w:p>
        </w:tc>
        <w:tc>
          <w:tcPr>
            <w:tcW w:w="60" w:type="dxa"/>
            <w:tcBorders/>
            <w:vAlign w:val="center"/>
          </w:tcPr>
          <w:p>
            <w:pPr>
              <w:pStyle w:val="TableContents"/>
              <w:bidi w:val="0"/>
              <w:spacing w:before="0" w:after="283"/>
              <w:jc w:val="center"/>
              <w:rPr/>
            </w:pPr>
            <w:r>
              <w:rPr/>
              <w:t> </w:t>
            </w:r>
          </w:p>
        </w:tc>
        <w:tc>
          <w:tcPr>
            <w:tcW w:w="111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Filing Date</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4.1</w:t>
            </w:r>
          </w:p>
        </w:tc>
        <w:tc>
          <w:tcPr>
            <w:tcW w:w="60" w:type="dxa"/>
            <w:tcBorders/>
            <w:shd w:fill="CCEEFF" w:val="clear"/>
            <w:vAlign w:val="center"/>
          </w:tcPr>
          <w:p>
            <w:pPr>
              <w:pStyle w:val="TableContents"/>
              <w:bidi w:val="0"/>
              <w:spacing w:before="0" w:after="283"/>
              <w:jc w:val="left"/>
              <w:rPr/>
            </w:pPr>
            <w:r>
              <w:rPr/>
              <w:t> </w:t>
            </w:r>
          </w:p>
        </w:tc>
        <w:tc>
          <w:tcPr>
            <w:tcW w:w="5690" w:type="dxa"/>
            <w:tcBorders/>
            <w:shd w:fill="CCEEFF" w:val="clear"/>
            <w:vAlign w:val="center"/>
          </w:tcPr>
          <w:p>
            <w:pPr>
              <w:pStyle w:val="TableContents"/>
              <w:bidi w:val="0"/>
              <w:spacing w:before="0" w:after="283"/>
              <w:jc w:val="left"/>
              <w:rPr/>
            </w:pPr>
            <w:r>
              <w:fldChar w:fldCharType="begin"/>
            </w:r>
            <w:r>
              <w:rPr>
                <w:rStyle w:val="InternetLink"/>
                <w:sz w:val="20"/>
              </w:rPr>
              <w:instrText xml:space="preserve"> HYPERLINK "https://www.sec.gov/Archives/edgar/data/1840856/000121390022018967/f424b30422_archimedes.htm" \l "T601"</w:instrText>
            </w:r>
            <w:r>
              <w:rPr>
                <w:rStyle w:val="InternetLink"/>
                <w:sz w:val="20"/>
              </w:rPr>
              <w:fldChar w:fldCharType="separate"/>
            </w:r>
            <w:r>
              <w:rPr>
                <w:rStyle w:val="InternetLink"/>
                <w:sz w:val="20"/>
              </w:rPr>
              <w:t>SoundHound AI, Inc. 2022 Incentive Award Plan.</w:t>
            </w:r>
            <w:r>
              <w:rPr>
                <w:rStyle w:val="InternetLink"/>
                <w:sz w:val="20"/>
              </w:rPr>
              <w:fldChar w:fldCharType="end"/>
            </w:r>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sz w:val="20"/>
              </w:rPr>
            </w:pPr>
            <w:r>
              <w:rPr>
                <w:sz w:val="20"/>
              </w:rPr>
              <w:t>Proxy Statement</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sz w:val="20"/>
              </w:rPr>
            </w:pPr>
            <w:r>
              <w:rPr>
                <w:sz w:val="20"/>
              </w:rPr>
              <w:t>Annex D</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sz w:val="20"/>
              </w:rPr>
            </w:pPr>
            <w:r>
              <w:rPr>
                <w:sz w:val="20"/>
              </w:rPr>
              <w:t>April 8, 2022</w:t>
            </w:r>
          </w:p>
        </w:tc>
      </w:tr>
      <w:tr>
        <w:trPr/>
        <w:tc>
          <w:tcPr>
            <w:tcW w:w="725" w:type="dxa"/>
            <w:tcBorders/>
            <w:shd w:fill="FFFFFF" w:val="clear"/>
            <w:vAlign w:val="center"/>
          </w:tcPr>
          <w:p>
            <w:pPr>
              <w:pStyle w:val="TableContents"/>
              <w:bidi w:val="0"/>
              <w:spacing w:before="0" w:after="283"/>
              <w:jc w:val="left"/>
              <w:rPr>
                <w:sz w:val="20"/>
              </w:rPr>
            </w:pPr>
            <w:r>
              <w:rPr>
                <w:sz w:val="20"/>
              </w:rPr>
              <w:t>4.2</w:t>
            </w:r>
          </w:p>
        </w:tc>
        <w:tc>
          <w:tcPr>
            <w:tcW w:w="60" w:type="dxa"/>
            <w:tcBorders/>
            <w:shd w:fill="FFFFFF" w:val="clear"/>
            <w:vAlign w:val="center"/>
          </w:tcPr>
          <w:p>
            <w:pPr>
              <w:pStyle w:val="TableContents"/>
              <w:bidi w:val="0"/>
              <w:spacing w:before="0" w:after="283"/>
              <w:jc w:val="left"/>
              <w:rPr/>
            </w:pPr>
            <w:r>
              <w:rPr/>
              <w:t> </w:t>
            </w:r>
          </w:p>
        </w:tc>
        <w:tc>
          <w:tcPr>
            <w:tcW w:w="5690" w:type="dxa"/>
            <w:tcBorders/>
            <w:shd w:fill="FFFFFF" w:val="clear"/>
            <w:vAlign w:val="center"/>
          </w:tcPr>
          <w:p>
            <w:pPr>
              <w:pStyle w:val="TableContents"/>
              <w:bidi w:val="0"/>
              <w:spacing w:before="0" w:after="283"/>
              <w:jc w:val="left"/>
              <w:rPr/>
            </w:pPr>
            <w:hyperlink r:id="rId10">
              <w:r>
                <w:rPr>
                  <w:rStyle w:val="InternetLink"/>
                  <w:sz w:val="20"/>
                </w:rPr>
                <w:t>Form of Restricted Stock Unit Agreement.</w:t>
              </w:r>
            </w:hyperlink>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sz w:val="20"/>
              </w:rPr>
            </w:pPr>
            <w:r>
              <w:rPr>
                <w:sz w:val="20"/>
              </w:rPr>
              <w:t>Form 8-K</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sz w:val="20"/>
              </w:rPr>
            </w:pPr>
            <w:r>
              <w:rPr>
                <w:sz w:val="20"/>
              </w:rPr>
              <w:t>10.8</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sz w:val="20"/>
              </w:rPr>
            </w:pPr>
            <w:r>
              <w:rPr>
                <w:sz w:val="20"/>
              </w:rPr>
              <w:t>May 2, 2022</w:t>
            </w:r>
          </w:p>
        </w:tc>
      </w:tr>
      <w:tr>
        <w:trPr/>
        <w:tc>
          <w:tcPr>
            <w:tcW w:w="725" w:type="dxa"/>
            <w:tcBorders/>
            <w:shd w:fill="CCEEFF" w:val="clear"/>
            <w:vAlign w:val="center"/>
          </w:tcPr>
          <w:p>
            <w:pPr>
              <w:pStyle w:val="TableContents"/>
              <w:bidi w:val="0"/>
              <w:spacing w:before="0" w:after="283"/>
              <w:jc w:val="left"/>
              <w:rPr>
                <w:sz w:val="20"/>
              </w:rPr>
            </w:pPr>
            <w:r>
              <w:rPr>
                <w:sz w:val="20"/>
              </w:rPr>
              <w:t>4.3</w:t>
            </w:r>
          </w:p>
        </w:tc>
        <w:tc>
          <w:tcPr>
            <w:tcW w:w="60" w:type="dxa"/>
            <w:tcBorders/>
            <w:shd w:fill="CCEEFF" w:val="clear"/>
            <w:vAlign w:val="center"/>
          </w:tcPr>
          <w:p>
            <w:pPr>
              <w:pStyle w:val="TableContents"/>
              <w:bidi w:val="0"/>
              <w:spacing w:before="0" w:after="283"/>
              <w:jc w:val="left"/>
              <w:rPr/>
            </w:pPr>
            <w:r>
              <w:rPr/>
              <w:t> </w:t>
            </w:r>
          </w:p>
        </w:tc>
        <w:tc>
          <w:tcPr>
            <w:tcW w:w="5690" w:type="dxa"/>
            <w:tcBorders/>
            <w:shd w:fill="CCEEFF" w:val="clear"/>
            <w:vAlign w:val="center"/>
          </w:tcPr>
          <w:p>
            <w:pPr>
              <w:pStyle w:val="TableContents"/>
              <w:bidi w:val="0"/>
              <w:spacing w:before="0" w:after="283"/>
              <w:jc w:val="left"/>
              <w:rPr/>
            </w:pPr>
            <w:hyperlink r:id="rId11">
              <w:r>
                <w:rPr>
                  <w:rStyle w:val="InternetLink"/>
                  <w:sz w:val="20"/>
                </w:rPr>
                <w:t>Form of Stock Option Award Agreement.</w:t>
              </w:r>
            </w:hyperlink>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sz w:val="20"/>
              </w:rPr>
            </w:pPr>
            <w:r>
              <w:rPr>
                <w:sz w:val="20"/>
              </w:rPr>
              <w:t>Form 8-K</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sz w:val="20"/>
              </w:rPr>
            </w:pPr>
            <w:r>
              <w:rPr>
                <w:sz w:val="20"/>
              </w:rPr>
              <w:t>10.9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sz w:val="20"/>
              </w:rPr>
            </w:pPr>
            <w:r>
              <w:rPr>
                <w:sz w:val="20"/>
              </w:rPr>
              <w:t>May 2, 2022</w:t>
            </w:r>
          </w:p>
        </w:tc>
      </w:tr>
      <w:tr>
        <w:trPr/>
        <w:tc>
          <w:tcPr>
            <w:tcW w:w="725" w:type="dxa"/>
            <w:tcBorders/>
            <w:shd w:fill="FFFFFF" w:val="clear"/>
            <w:vAlign w:val="center"/>
          </w:tcPr>
          <w:p>
            <w:pPr>
              <w:pStyle w:val="TableContents"/>
              <w:bidi w:val="0"/>
              <w:spacing w:before="0" w:after="283"/>
              <w:jc w:val="left"/>
              <w:rPr>
                <w:sz w:val="20"/>
              </w:rPr>
            </w:pPr>
            <w:r>
              <w:rPr>
                <w:sz w:val="20"/>
              </w:rPr>
              <w:t>5.1*</w:t>
            </w:r>
          </w:p>
        </w:tc>
        <w:tc>
          <w:tcPr>
            <w:tcW w:w="60" w:type="dxa"/>
            <w:tcBorders/>
            <w:shd w:fill="FFFFFF" w:val="clear"/>
            <w:vAlign w:val="center"/>
          </w:tcPr>
          <w:p>
            <w:pPr>
              <w:pStyle w:val="TableContents"/>
              <w:bidi w:val="0"/>
              <w:spacing w:before="0" w:after="283"/>
              <w:jc w:val="left"/>
              <w:rPr/>
            </w:pPr>
            <w:r>
              <w:rPr/>
              <w:t> </w:t>
            </w:r>
          </w:p>
        </w:tc>
        <w:tc>
          <w:tcPr>
            <w:tcW w:w="5690" w:type="dxa"/>
            <w:tcBorders/>
            <w:shd w:fill="FFFFFF" w:val="clear"/>
            <w:vAlign w:val="center"/>
          </w:tcPr>
          <w:p>
            <w:pPr>
              <w:pStyle w:val="TableContents"/>
              <w:bidi w:val="0"/>
              <w:spacing w:before="0" w:after="283"/>
              <w:jc w:val="left"/>
              <w:rPr/>
            </w:pPr>
            <w:hyperlink w:anchor="ea025254701ex5-1_soundhound.htm">
              <w:r>
                <w:rPr>
                  <w:rStyle w:val="InternetLink"/>
                  <w:sz w:val="20"/>
                </w:rPr>
                <w:t>Opinion of Ellenoff Grossman &amp; Schole LLP</w:t>
              </w:r>
            </w:hyperlink>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23.1*</w:t>
            </w:r>
          </w:p>
        </w:tc>
        <w:tc>
          <w:tcPr>
            <w:tcW w:w="60" w:type="dxa"/>
            <w:tcBorders/>
            <w:shd w:fill="CCEEFF" w:val="clear"/>
            <w:vAlign w:val="center"/>
          </w:tcPr>
          <w:p>
            <w:pPr>
              <w:pStyle w:val="TableContents"/>
              <w:bidi w:val="0"/>
              <w:spacing w:before="0" w:after="283"/>
              <w:jc w:val="left"/>
              <w:rPr/>
            </w:pPr>
            <w:r>
              <w:rPr/>
              <w:t> </w:t>
            </w:r>
          </w:p>
        </w:tc>
        <w:tc>
          <w:tcPr>
            <w:tcW w:w="5690" w:type="dxa"/>
            <w:tcBorders/>
            <w:shd w:fill="CCEEFF" w:val="clear"/>
            <w:vAlign w:val="center"/>
          </w:tcPr>
          <w:p>
            <w:pPr>
              <w:pStyle w:val="TableContents"/>
              <w:bidi w:val="0"/>
              <w:spacing w:before="0" w:after="283"/>
              <w:jc w:val="left"/>
              <w:rPr/>
            </w:pPr>
            <w:hyperlink w:anchor="ea025254701ex23-1_soundhound.htm">
              <w:r>
                <w:rPr>
                  <w:rStyle w:val="InternetLink"/>
                  <w:sz w:val="20"/>
                </w:rPr>
                <w:t>Consent of PricewaterhouseCoopers LLP</w:t>
              </w:r>
            </w:hyperlink>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23.2*</w:t>
            </w:r>
          </w:p>
        </w:tc>
        <w:tc>
          <w:tcPr>
            <w:tcW w:w="60" w:type="dxa"/>
            <w:tcBorders/>
            <w:shd w:fill="FFFFFF" w:val="clear"/>
            <w:vAlign w:val="center"/>
          </w:tcPr>
          <w:p>
            <w:pPr>
              <w:pStyle w:val="TableContents"/>
              <w:bidi w:val="0"/>
              <w:spacing w:before="0" w:after="283"/>
              <w:jc w:val="left"/>
              <w:rPr/>
            </w:pPr>
            <w:r>
              <w:rPr/>
              <w:t> </w:t>
            </w:r>
          </w:p>
        </w:tc>
        <w:tc>
          <w:tcPr>
            <w:tcW w:w="5690" w:type="dxa"/>
            <w:tcBorders/>
            <w:shd w:fill="FFFFFF" w:val="clear"/>
            <w:vAlign w:val="center"/>
          </w:tcPr>
          <w:p>
            <w:pPr>
              <w:pStyle w:val="TableContents"/>
              <w:bidi w:val="0"/>
              <w:spacing w:before="0" w:after="283"/>
              <w:jc w:val="left"/>
              <w:rPr/>
            </w:pPr>
            <w:hyperlink w:anchor="ea025254701ex23-2_soundhound.htm">
              <w:r>
                <w:rPr>
                  <w:rStyle w:val="InternetLink"/>
                  <w:sz w:val="20"/>
                </w:rPr>
                <w:t>Consent of Armanino LLP</w:t>
              </w:r>
            </w:hyperlink>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23.3</w:t>
            </w:r>
          </w:p>
        </w:tc>
        <w:tc>
          <w:tcPr>
            <w:tcW w:w="60" w:type="dxa"/>
            <w:tcBorders/>
            <w:shd w:fill="CCEEFF" w:val="clear"/>
            <w:vAlign w:val="center"/>
          </w:tcPr>
          <w:p>
            <w:pPr>
              <w:pStyle w:val="TableContents"/>
              <w:bidi w:val="0"/>
              <w:spacing w:before="0" w:after="283"/>
              <w:jc w:val="left"/>
              <w:rPr/>
            </w:pPr>
            <w:r>
              <w:rPr/>
              <w:t> </w:t>
            </w:r>
          </w:p>
        </w:tc>
        <w:tc>
          <w:tcPr>
            <w:tcW w:w="5690" w:type="dxa"/>
            <w:tcBorders/>
            <w:shd w:fill="CCEEFF" w:val="clear"/>
            <w:vAlign w:val="center"/>
          </w:tcPr>
          <w:p>
            <w:pPr>
              <w:pStyle w:val="TableContents"/>
              <w:bidi w:val="0"/>
              <w:spacing w:before="0" w:after="283"/>
              <w:jc w:val="left"/>
              <w:rPr/>
            </w:pPr>
            <w:hyperlink w:anchor="ea025254701ex5-1_soundhound.htm">
              <w:r>
                <w:rPr>
                  <w:rStyle w:val="InternetLink"/>
                  <w:sz w:val="20"/>
                </w:rPr>
                <w:t>Consent of Ellenoff Grossman &amp; Schole LLP (included in Exhibit 5.1)</w:t>
              </w:r>
            </w:hyperlink>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r>
      <w:tr>
        <w:trPr/>
        <w:tc>
          <w:tcPr>
            <w:tcW w:w="725" w:type="dxa"/>
            <w:tcBorders/>
            <w:shd w:fill="FFFFFF" w:val="clear"/>
            <w:vAlign w:val="center"/>
          </w:tcPr>
          <w:p>
            <w:pPr>
              <w:pStyle w:val="TableContents"/>
              <w:bidi w:val="0"/>
              <w:spacing w:before="0" w:after="283"/>
              <w:jc w:val="left"/>
              <w:rPr>
                <w:sz w:val="20"/>
              </w:rPr>
            </w:pPr>
            <w:r>
              <w:rPr>
                <w:sz w:val="20"/>
              </w:rPr>
              <w:t>24</w:t>
            </w:r>
          </w:p>
        </w:tc>
        <w:tc>
          <w:tcPr>
            <w:tcW w:w="60" w:type="dxa"/>
            <w:tcBorders/>
            <w:shd w:fill="FFFFFF" w:val="clear"/>
            <w:vAlign w:val="center"/>
          </w:tcPr>
          <w:p>
            <w:pPr>
              <w:pStyle w:val="TableContents"/>
              <w:bidi w:val="0"/>
              <w:spacing w:before="0" w:after="283"/>
              <w:jc w:val="left"/>
              <w:rPr/>
            </w:pPr>
            <w:r>
              <w:rPr/>
              <w:t> </w:t>
            </w:r>
          </w:p>
        </w:tc>
        <w:tc>
          <w:tcPr>
            <w:tcW w:w="5690" w:type="dxa"/>
            <w:tcBorders/>
            <w:shd w:fill="FFFFFF" w:val="clear"/>
            <w:vAlign w:val="center"/>
          </w:tcPr>
          <w:p>
            <w:pPr>
              <w:pStyle w:val="TableContents"/>
              <w:bidi w:val="0"/>
              <w:spacing w:before="0" w:after="283"/>
              <w:jc w:val="left"/>
              <w:rPr/>
            </w:pPr>
            <w:hyperlink w:anchor="s_001">
              <w:r>
                <w:rPr>
                  <w:rStyle w:val="InternetLink"/>
                </w:rPr>
                <w:t>Powers of Attorney (included on signature page)</w:t>
              </w:r>
            </w:hyperlink>
          </w:p>
        </w:tc>
        <w:tc>
          <w:tcPr>
            <w:tcW w:w="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t> </w:t>
            </w:r>
          </w:p>
        </w:tc>
      </w:tr>
      <w:tr>
        <w:trPr/>
        <w:tc>
          <w:tcPr>
            <w:tcW w:w="725" w:type="dxa"/>
            <w:tcBorders/>
            <w:shd w:fill="CCEEFF" w:val="clear"/>
            <w:vAlign w:val="center"/>
          </w:tcPr>
          <w:p>
            <w:pPr>
              <w:pStyle w:val="TableContents"/>
              <w:bidi w:val="0"/>
              <w:spacing w:before="0" w:after="283"/>
              <w:jc w:val="left"/>
              <w:rPr>
                <w:sz w:val="20"/>
              </w:rPr>
            </w:pPr>
            <w:r>
              <w:rPr>
                <w:sz w:val="20"/>
              </w:rPr>
              <w:t>107*</w:t>
            </w:r>
          </w:p>
        </w:tc>
        <w:tc>
          <w:tcPr>
            <w:tcW w:w="60" w:type="dxa"/>
            <w:tcBorders/>
            <w:shd w:fill="CCEEFF" w:val="clear"/>
            <w:vAlign w:val="center"/>
          </w:tcPr>
          <w:p>
            <w:pPr>
              <w:pStyle w:val="TableContents"/>
              <w:bidi w:val="0"/>
              <w:spacing w:before="0" w:after="283"/>
              <w:jc w:val="left"/>
              <w:rPr/>
            </w:pPr>
            <w:r>
              <w:rPr/>
              <w:t> </w:t>
            </w:r>
          </w:p>
        </w:tc>
        <w:tc>
          <w:tcPr>
            <w:tcW w:w="5690" w:type="dxa"/>
            <w:tcBorders/>
            <w:shd w:fill="CCEEFF" w:val="clear"/>
            <w:vAlign w:val="center"/>
          </w:tcPr>
          <w:p>
            <w:pPr>
              <w:pStyle w:val="TableContents"/>
              <w:bidi w:val="0"/>
              <w:spacing w:before="0" w:after="283"/>
              <w:jc w:val="left"/>
              <w:rPr/>
            </w:pPr>
            <w:hyperlink w:anchor="ea025254701ex-fee_soundhound.htm">
              <w:r>
                <w:rPr>
                  <w:rStyle w:val="InternetLink"/>
                  <w:sz w:val="20"/>
                </w:rPr>
                <w:t>Calculation of Filing Fees Table</w:t>
              </w:r>
            </w:hyperlink>
          </w:p>
        </w:tc>
        <w:tc>
          <w:tcPr>
            <w:tcW w:w="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2365" w:type="dxa"/>
        <w:jc w:val="left"/>
        <w:tblInd w:w="0" w:type="dxa"/>
        <w:shd w:fill="FFFFFF" w:val="clear"/>
        <w:tblLayout w:type="fixed"/>
        <w:tblCellMar>
          <w:top w:w="0" w:type="dxa"/>
          <w:left w:w="0" w:type="dxa"/>
          <w:bottom w:w="0" w:type="dxa"/>
          <w:right w:w="0" w:type="dxa"/>
        </w:tblCellMar>
      </w:tblPr>
      <w:tblGrid>
        <w:gridCol w:w="140"/>
        <w:gridCol w:w="2225"/>
      </w:tblGrid>
      <w:tr>
        <w:trPr/>
        <w:tc>
          <w:tcPr>
            <w:tcW w:w="140" w:type="dxa"/>
            <w:tcBorders/>
            <w:shd w:fill="FFFFFF" w:val="clear"/>
            <w:vAlign w:val="center"/>
          </w:tcPr>
          <w:p>
            <w:pPr>
              <w:pStyle w:val="TableContents"/>
              <w:bidi w:val="0"/>
              <w:spacing w:before="0" w:after="283"/>
              <w:jc w:val="left"/>
              <w:rPr>
                <w:sz w:val="20"/>
              </w:rPr>
            </w:pPr>
            <w:r>
              <w:rPr>
                <w:sz w:val="20"/>
              </w:rPr>
              <w:t>*</w:t>
            </w:r>
          </w:p>
        </w:tc>
        <w:tc>
          <w:tcPr>
            <w:tcW w:w="2225" w:type="dxa"/>
            <w:tcBorders/>
            <w:shd w:fill="FFFFFF" w:val="clear"/>
            <w:vAlign w:val="center"/>
          </w:tcPr>
          <w:p>
            <w:pPr>
              <w:pStyle w:val="TableContents"/>
              <w:bidi w:val="0"/>
              <w:spacing w:before="0" w:after="283"/>
              <w:jc w:val="both"/>
              <w:rPr>
                <w:sz w:val="20"/>
              </w:rPr>
            </w:pPr>
            <w:r>
              <w:rPr>
                <w:sz w:val="20"/>
              </w:rPr>
              <w:t>Filed or furnished herewith</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Section 15(d) of the Exchange Act that are incorporated by reference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on August 11, 2025.</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b/>
                <w:sz w:val="20"/>
              </w:rPr>
            </w:pPr>
            <w:r>
              <w:rPr>
                <w:b/>
                <w:sz w:val="20"/>
              </w:rPr>
              <w:t>SoundHound AI, Inc.</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Dr. Keyvan Mohajer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 xml:space="preserve">Name: </w:t>
            </w:r>
          </w:p>
        </w:tc>
        <w:tc>
          <w:tcPr>
            <w:tcW w:w="1940" w:type="dxa"/>
            <w:tcBorders/>
            <w:vAlign w:val="center"/>
          </w:tcPr>
          <w:p>
            <w:pPr>
              <w:pStyle w:val="TableContents"/>
              <w:bidi w:val="0"/>
              <w:spacing w:before="0" w:after="283"/>
              <w:jc w:val="left"/>
              <w:rPr>
                <w:sz w:val="20"/>
              </w:rPr>
            </w:pPr>
            <w:r>
              <w:rPr>
                <w:sz w:val="20"/>
              </w:rPr>
              <w:t>Dr. Keyvan Mohajer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s_001"/>
      <w:bookmarkEnd w:id="2"/>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MEN BY THESE PRESENTS, that each person whose signature appears below constitutes and appoints Dr. Keyvan Mohajer his true and lawful attorney-in-fact,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hereby ratifying and confirming all that said attorney-in-fact or his substitute, each acting alone, may lawfully do or cause to be done by virtue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7065" w:type="dxa"/>
        <w:jc w:val="left"/>
        <w:tblInd w:w="0" w:type="dxa"/>
        <w:shd w:fill="FFFFFF" w:val="clear"/>
        <w:tblLayout w:type="fixed"/>
        <w:tblCellMar>
          <w:top w:w="0" w:type="dxa"/>
          <w:left w:w="0" w:type="dxa"/>
          <w:bottom w:w="28" w:type="dxa"/>
          <w:right w:w="0" w:type="dxa"/>
        </w:tblCellMar>
      </w:tblPr>
      <w:tblGrid>
        <w:gridCol w:w="1925"/>
        <w:gridCol w:w="60"/>
        <w:gridCol w:w="3635"/>
        <w:gridCol w:w="60"/>
        <w:gridCol w:w="1385"/>
      </w:tblGrid>
      <w:tr>
        <w:trPr/>
        <w:tc>
          <w:tcPr>
            <w:tcW w:w="1925" w:type="dxa"/>
            <w:tcBorders>
              <w:bottom w:val="single" w:sz="12" w:space="0" w:color="000000"/>
            </w:tcBorders>
            <w:shd w:fill="FFFFFF" w:val="clear"/>
            <w:vAlign w:val="center"/>
          </w:tcPr>
          <w:p>
            <w:pPr>
              <w:pStyle w:val="TableContents"/>
              <w:bidi w:val="0"/>
              <w:spacing w:before="0" w:after="283"/>
              <w:jc w:val="left"/>
              <w:rPr>
                <w:b/>
                <w:sz w:val="20"/>
              </w:rPr>
            </w:pPr>
            <w:r>
              <w:rPr>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shd w:fill="FFFFFF" w:val="clear"/>
            <w:vAlign w:val="center"/>
          </w:tcPr>
          <w:p>
            <w:pPr>
              <w:pStyle w:val="TableContents"/>
              <w:bidi w:val="0"/>
              <w:spacing w:before="0" w:after="283"/>
              <w:jc w:val="center"/>
              <w:rPr>
                <w:b/>
                <w:sz w:val="20"/>
              </w:rPr>
            </w:pPr>
            <w:r>
              <w:rPr>
                <w:b/>
                <w:sz w:val="20"/>
              </w:rPr>
              <w:t>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19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Dr. Keyvan Mohajer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Dr. Keyvan Mohajer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(Principal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Nitesh Sharan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Nitesh Sharan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(Principal Financial and Accounting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James Hom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James Hom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Dr. Eric Ball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Dr. Eric Ball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Larry Marcus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Larry Marcus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12" w:space="0" w:color="000000"/>
            </w:tcBorders>
            <w:shd w:fill="FFFFFF" w:val="clear"/>
            <w:vAlign w:val="center"/>
          </w:tcPr>
          <w:p>
            <w:pPr>
              <w:pStyle w:val="TableContents"/>
              <w:bidi w:val="0"/>
              <w:spacing w:before="0" w:after="283"/>
              <w:jc w:val="left"/>
              <w:rPr>
                <w:sz w:val="20"/>
              </w:rPr>
            </w:pPr>
            <w:r>
              <w:rPr>
                <w:sz w:val="20"/>
              </w:rPr>
              <w:t>/s/ Diana Sroka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center"/>
              <w:rPr>
                <w:sz w:val="20"/>
              </w:rPr>
            </w:pPr>
            <w:r>
              <w:rPr>
                <w:sz w:val="20"/>
              </w:rPr>
              <w:t>August 11, 2025</w:t>
            </w:r>
          </w:p>
        </w:tc>
      </w:tr>
      <w:tr>
        <w:trPr/>
        <w:tc>
          <w:tcPr>
            <w:tcW w:w="1925" w:type="dxa"/>
            <w:tcBorders/>
            <w:shd w:fill="FFFFFF" w:val="clear"/>
            <w:tcMar>
              <w:bottom w:w="0" w:type="dxa"/>
            </w:tcMar>
            <w:vAlign w:val="center"/>
          </w:tcPr>
          <w:p>
            <w:pPr>
              <w:pStyle w:val="TableContents"/>
              <w:bidi w:val="0"/>
              <w:spacing w:before="0" w:after="283"/>
              <w:jc w:val="both"/>
              <w:rPr>
                <w:sz w:val="20"/>
              </w:rPr>
            </w:pPr>
            <w:r>
              <w:rPr>
                <w:sz w:val="20"/>
              </w:rPr>
              <w:t>Diana Sroka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shd w:fill="FFFFFF" w:val="clear"/>
        <w:bidi w:val="0"/>
        <w:spacing w:before="0" w:after="0"/>
        <w:ind w:left="0" w:right="0" w:firstLine="648"/>
        <w:jc w:val="both"/>
        <w:rPr>
          <w:caps w:val="false"/>
          <w:smallCaps w:val="false"/>
        </w:rPr>
      </w:pPr>
      <w:r>
        <w:rPr>
          <w:caps w:val="false"/>
          <w:smallCaps w:val="false"/>
        </w:rPr>
        <w:t> </w:t>
      </w:r>
    </w:p>
    <w:p>
      <w:pPr>
        <w:pStyle w:val="TextBody"/>
        <w:bidi w:val="0"/>
        <w:spacing w:before="0" w:after="0"/>
        <w:ind w:left="2" w:right="2" w:hanging="0"/>
        <w:jc w:val="right"/>
        <w:rPr>
          <w:rFonts w:ascii="Times New Roman;Times;Serif" w:hAnsi="Times New Roman;Times;Serif"/>
          <w:b/>
          <w:i w:val="false"/>
          <w:caps w:val="false"/>
          <w:smallCaps w:val="false"/>
          <w:sz w:val="20"/>
        </w:rPr>
      </w:pPr>
      <w:bookmarkStart w:id="3" w:name="ea025254701ex5-1_soundhound.htm"/>
      <w:bookmarkStart w:id="4" w:name="ksea025254701ex51_soundhound"/>
      <w:bookmarkEnd w:id="3"/>
      <w:bookmarkEnd w:id="4"/>
      <w:r>
        <w:rPr>
          <w:rFonts w:ascii="Times New Roman;Times;Serif" w:hAnsi="Times New Roman;Times;Serif"/>
          <w:b/>
          <w:i w:val="false"/>
          <w:caps w:val="false"/>
          <w:smallCaps w:val="false"/>
          <w:sz w:val="20"/>
        </w:rPr>
        <w:t>Exhibit 5.1</w:t>
      </w:r>
      <w:r>
        <w:br w:type="page"/>
      </w:r>
    </w:p>
    <w:p>
      <w:pPr>
        <w:pStyle w:val="TextBody"/>
        <w:bidi w:val="0"/>
        <w:spacing w:before="0" w:after="0"/>
        <w:ind w:left="2" w:right="2" w:hanging="0"/>
        <w:jc w:val="right"/>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3750"/>
        <w:gridCol w:w="60"/>
        <w:gridCol w:w="5225"/>
      </w:tblGrid>
      <w:tr>
        <w:trPr/>
        <w:tc>
          <w:tcPr>
            <w:tcW w:w="3750" w:type="dxa"/>
            <w:tcBorders/>
            <w:vAlign w:val="center"/>
          </w:tcPr>
          <w:p>
            <w:pPr>
              <w:pStyle w:val="TableContents"/>
              <w:bidi w:val="0"/>
              <w:spacing w:before="0" w:after="283"/>
              <w:jc w:val="left"/>
              <w:rPr/>
            </w:pPr>
            <w:r>
              <w:rPr/>
              <w:drawing>
                <wp:inline distT="0" distB="0" distL="0" distR="0">
                  <wp:extent cx="2371725"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2"/>
                          <a:stretch>
                            <a:fillRect/>
                          </a:stretch>
                        </pic:blipFill>
                        <pic:spPr bwMode="auto">
                          <a:xfrm>
                            <a:off x="0" y="0"/>
                            <a:ext cx="2371725" cy="9144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283"/>
              <w:jc w:val="right"/>
              <w:rPr/>
            </w:pPr>
            <w:r>
              <w:rPr/>
              <w:t>1345 AVENUE OF THE AMERICAS, 11</w:t>
            </w:r>
            <w:r>
              <w:rPr>
                <w:position w:val="8"/>
                <w:sz w:val="19"/>
              </w:rPr>
              <w:t>th</w:t>
            </w:r>
            <w:r>
              <w:rPr/>
              <w:t xml:space="preserve"> FLOOR</w:t>
              <w:br/>
              <w:t>NEW YORK, NEW YORK 10017</w:t>
              <w:br/>
              <w:t>TELEPHONE: (212) 370-1300</w:t>
              <w:br/>
              <w:t>FACSIMILE: (212) 370-7889</w:t>
              <w:br/>
              <w:t>www.egsllp.com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Soundhound AI,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5400 Betsy Ross Drive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Santa Clara, CA 95054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acted as counsel to Soundhound AI, Inc., a Delaware corporation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in connection with the preparation of the Company’s Registration Statement on Form S-8 (the “</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being filed with the Securities and Exchange Commission under the Securities Act of 1933, as amended (the “</w:t>
      </w:r>
      <w:r>
        <w:rPr>
          <w:rFonts w:ascii="Times New Roman;Times;Serif" w:hAnsi="Times New Roman;Times;Serif"/>
          <w:b/>
          <w:i w:val="false"/>
          <w:caps w:val="false"/>
          <w:smallCaps w:val="false"/>
          <w:sz w:val="20"/>
          <w:shd w:fill="FFFFFF" w:val="clear"/>
        </w:rPr>
        <w:t>Securities Act</w:t>
      </w:r>
      <w:r>
        <w:rPr>
          <w:rFonts w:ascii="Times New Roman;Times;Serif" w:hAnsi="Times New Roman;Times;Serif"/>
          <w:b w:val="false"/>
          <w:i w:val="false"/>
          <w:caps w:val="false"/>
          <w:smallCaps w:val="false"/>
          <w:sz w:val="20"/>
          <w:shd w:fill="FFFFFF" w:val="clear"/>
        </w:rPr>
        <w:t>”). The Registration Statement has been filed to register an additional 18,038,282 shares (the “</w:t>
      </w:r>
      <w:r>
        <w:rPr>
          <w:rFonts w:ascii="Times New Roman;Times;Serif" w:hAnsi="Times New Roman;Times;Serif"/>
          <w:b/>
          <w:i w:val="false"/>
          <w:caps w:val="false"/>
          <w:smallCaps w:val="false"/>
          <w:sz w:val="20"/>
          <w:shd w:fill="FFFFFF" w:val="clear"/>
        </w:rPr>
        <w:t>Plan Shares</w:t>
      </w:r>
      <w:r>
        <w:rPr>
          <w:rFonts w:ascii="Times New Roman;Times;Serif" w:hAnsi="Times New Roman;Times;Serif"/>
          <w:b w:val="false"/>
          <w:i w:val="false"/>
          <w:caps w:val="false"/>
          <w:smallCaps w:val="false"/>
          <w:sz w:val="20"/>
          <w:shd w:fill="FFFFFF" w:val="clear"/>
        </w:rPr>
        <w:t>”) of Company’s Class A common stock, par value $0.0001 per share (the “</w:t>
      </w:r>
      <w:r>
        <w:rPr>
          <w:rFonts w:ascii="Times New Roman;Times;Serif" w:hAnsi="Times New Roman;Times;Serif"/>
          <w:b/>
          <w:i w:val="false"/>
          <w:caps w:val="false"/>
          <w:smallCaps w:val="false"/>
          <w:sz w:val="20"/>
          <w:shd w:fill="FFFFFF" w:val="clear"/>
        </w:rPr>
        <w:t>Class A Common Stock</w:t>
      </w:r>
      <w:r>
        <w:rPr>
          <w:rFonts w:ascii="Times New Roman;Times;Serif" w:hAnsi="Times New Roman;Times;Serif"/>
          <w:b w:val="false"/>
          <w:i w:val="false"/>
          <w:caps w:val="false"/>
          <w:smallCaps w:val="false"/>
          <w:sz w:val="20"/>
          <w:shd w:fill="FFFFFF" w:val="clear"/>
        </w:rPr>
        <w:t>”), to be issued pursuant to the Company’s 2022 Equity Incentive Plan (the “</w:t>
      </w:r>
      <w:r>
        <w:rPr>
          <w:rFonts w:ascii="Times New Roman;Times;Serif" w:hAnsi="Times New Roman;Times;Serif"/>
          <w:b/>
          <w:i w:val="false"/>
          <w:caps w:val="false"/>
          <w:smallCaps w:val="false"/>
          <w:sz w:val="20"/>
          <w:shd w:fill="FFFFFF" w:val="clear"/>
        </w:rPr>
        <w:t>2022 Incentive Plan</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arriving at the opinion expressed below, we have examined and relied on the following documents: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hd w:fill="FFFFFF" w:val="clear"/>
              </w:rPr>
            </w:pPr>
            <w:r>
              <w:rPr>
                <w:shd w:fill="FFFFFF" w:val="clear"/>
              </w:rPr>
              <w:t>(1)</w:t>
            </w:r>
          </w:p>
        </w:tc>
        <w:tc>
          <w:tcPr>
            <w:tcW w:w="9897" w:type="dxa"/>
            <w:tcBorders/>
            <w:vAlign w:val="center"/>
          </w:tcPr>
          <w:p>
            <w:pPr>
              <w:pStyle w:val="TableContents"/>
              <w:bidi w:val="0"/>
              <w:spacing w:before="0" w:after="283"/>
              <w:jc w:val="both"/>
              <w:rPr/>
            </w:pPr>
            <w:r>
              <w:rPr/>
              <w:t>the Restated Certificate of Incorporation and the Amended and Restated Bylaws of the Company, each as in effect as of the date hereof;</w:t>
            </w:r>
          </w:p>
        </w:tc>
      </w:tr>
    </w:tbl>
    <w:p>
      <w:pPr>
        <w:pStyle w:val="TextBody"/>
        <w:bidi w:val="0"/>
        <w:spacing w:before="0" w:after="0"/>
        <w:ind w:left="0" w:right="0" w:firstLine="720"/>
        <w:jc w:val="both"/>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9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2735" w:type="dxa"/>
            <w:tcBorders/>
            <w:vAlign w:val="center"/>
          </w:tcPr>
          <w:p>
            <w:pPr>
              <w:pStyle w:val="TableContents"/>
              <w:bidi w:val="0"/>
              <w:spacing w:before="0" w:after="283"/>
              <w:jc w:val="both"/>
              <w:rPr/>
            </w:pPr>
            <w:r>
              <w:rPr/>
              <w:t>the 2022 Incentive Plan;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(3)</w:t>
            </w:r>
          </w:p>
        </w:tc>
        <w:tc>
          <w:tcPr>
            <w:tcW w:w="9881" w:type="dxa"/>
            <w:tcBorders/>
            <w:vAlign w:val="center"/>
          </w:tcPr>
          <w:p>
            <w:pPr>
              <w:pStyle w:val="TableContents"/>
              <w:bidi w:val="0"/>
              <w:spacing w:before="0" w:after="283"/>
              <w:jc w:val="both"/>
              <w:rPr/>
            </w:pPr>
            <w:r>
              <w:rPr/>
              <w:t>records of meetings and consents of the Board of Directors of the Company provided to us by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also assumed that the Company will not in the future issue or otherwise make available so many shares of its Class A Common Stock that there are insufficient authorized and unissued shares of Class A Common Stock for issuance of the shares issuable upon exercise of the options and vesting of the restricted stock units and any other awards being registered in the Registration Statement. We have not independently verified any of these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opinions expressed in this opinion letter are limited to the General Corporation Law of the State of Delaware. We are not opining on, and we assume no responsibility for, the applicability or effect on any of the matters covered herein of: (a) any other laws; (b) the laws of any other jurisdiction; or (c) the laws of any country, municipality or other political subdivision or local government agency or authority. The opinions set forth below are rendered as of the date of this opinion letter. We assume no obligation to update or supplement such opinions to reflect any change of law or fact that may occur.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Based upon and subject to the foregoing, it is our opinion that the Plan Shares have been duly authorized and, upon issuance and payment therefor in accordance with the terms of the 2022 Incentive Plan, and the awards, agreements or certificates issued thereunder,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hereby consent to the filing of this opinion as an exhibit to the Registration Statement. In giving such consent, we do not thereby admit that we are experts with respect to any part of the Registration Statement within the meaning of the term “expert” as used in Section 11 of the Securities Act or the rules and regulations promulgated thereunder by the Securities and Exchange Commission, nor do we admit that we are within the category of persons whose consent is required under Section 7 of the Securities Act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/s/ Ellenoff Grossman &amp; Schole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5" w:name="ea025254701ex23-1_soundhound.htm"/>
      <w:bookmarkStart w:id="6" w:name="ksea025254701ex231_soundhound"/>
      <w:bookmarkEnd w:id="5"/>
      <w:bookmarkEnd w:id="6"/>
      <w:r>
        <w:rPr>
          <w:b/>
        </w:rPr>
        <w:t>Exhibit 23.1</w:t>
      </w:r>
      <w:r>
        <w:br w:type="page"/>
      </w:r>
    </w:p>
    <w:p>
      <w:pPr>
        <w:pStyle w:val="TextBody"/>
        <w:bidi w:val="0"/>
        <w:jc w:val="righ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Soundhound AI, Inc. of our report dated March 11, 2025 relating to the financial statements and the effectiveness of internal control over financial reporting, which appears in SoundHound AI, Inc.’s Annual Report on Form 10-K for the year ended December 31, 2024.</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August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7" w:name="ea025254701ex23-2_soundhound.htm"/>
      <w:bookmarkStart w:id="8" w:name="ksea025254701ex232_soundhound"/>
      <w:bookmarkEnd w:id="7"/>
      <w:bookmarkEnd w:id="8"/>
      <w:r>
        <w:rPr>
          <w:b/>
        </w:rPr>
        <w:t>Exhibit 23.2</w:t>
      </w:r>
      <w:r>
        <w:br w:type="page"/>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CONSENT OF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consent to the incorporation by reference in this Registration Statement on Form S-8 of SoundHound AI, Inc. (the “Company”) of our audit report dated March 28, 2023, except for </w:t>
      </w:r>
      <w:r>
        <w:rPr>
          <w:rFonts w:ascii="Times New Roman;Times;Serif" w:hAnsi="Times New Roman;Times;Serif"/>
          <w:b w:val="false"/>
          <w:i w:val="false"/>
          <w:caps w:val="false"/>
          <w:smallCaps w:val="false"/>
          <w:sz w:val="20"/>
        </w:rPr>
        <w:t>the effects of the tables reflecting the impact of the revisions as of and for the year ended December 31, 2022 discussed in Note 22 (not presented herein) to the consolidated financial statements</w:t>
      </w:r>
      <w:r>
        <w:rPr>
          <w:rFonts w:ascii="Times New Roman;Times;Serif" w:hAnsi="Times New Roman;Times;Serif"/>
          <w:b w:val="false"/>
          <w:i w:val="false"/>
          <w:caps w:val="false"/>
          <w:smallCaps w:val="false"/>
          <w:sz w:val="20"/>
          <w:shd w:fill="FFFFFF" w:val="clear"/>
        </w:rPr>
        <w:t xml:space="preserve">, as to which the date is March 1, 2024, and except for the effects of segment reporting discussed in Note 21 to the consolidated financial statements appearing under Item 8 of the Company’s 2024 Annual Report on Form 10-K, as to which date is March 11, 2025, relating to the consolidated financial statements for the year ended December 31, 2024, which report appears in the </w:t>
      </w:r>
      <w:r>
        <w:rPr>
          <w:rFonts w:ascii="Times New Roman;Times;Serif" w:hAnsi="Times New Roman;Times;Serif"/>
          <w:b w:val="false"/>
          <w:i w:val="false"/>
          <w:caps w:val="false"/>
          <w:smallCaps w:val="false"/>
          <w:sz w:val="20"/>
        </w:rPr>
        <w:t>Company’s 2024 Annual Report on Form 10-K</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 Armanino</w:t>
      </w:r>
      <w:r>
        <w:rPr>
          <w:rFonts w:ascii="Times New Roman;Times;Serif" w:hAnsi="Times New Roman;Times;Serif"/>
          <w:b w:val="false"/>
          <w:i w:val="false"/>
          <w:caps w:val="false"/>
          <w:smallCaps w:val="false"/>
          <w:position w:val="7"/>
          <w:sz w:val="16"/>
          <w:sz w:val="20"/>
          <w:shd w:fill="FFFFFF" w:val="clear"/>
        </w:rPr>
        <w:t>LLP</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Jose, California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August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40"/>
        <w:jc w:val="right"/>
        <w:rPr>
          <w:rFonts w:ascii="Times New Roman;Times;Serif" w:hAnsi="Times New Roman;Times;Serif"/>
          <w:b/>
          <w:i w:val="false"/>
          <w:caps w:val="false"/>
          <w:smallCaps w:val="false"/>
          <w:sz w:val="24"/>
        </w:rPr>
      </w:pPr>
      <w:bookmarkStart w:id="9" w:name="ea025254701ex-fee_soundhound.htm"/>
      <w:bookmarkStart w:id="10" w:name="ksea025254701exfee_soundhound"/>
      <w:bookmarkEnd w:id="9"/>
      <w:bookmarkEnd w:id="10"/>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S-8</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SOUNDHOUND AI,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20" w:type="dxa"/>
        <w:jc w:val="left"/>
        <w:tblInd w:w="0" w:type="dxa"/>
        <w:tblLayout w:type="fixed"/>
        <w:tblCellMar>
          <w:top w:w="0" w:type="dxa"/>
          <w:left w:w="0" w:type="dxa"/>
          <w:bottom w:w="0" w:type="dxa"/>
          <w:right w:w="0" w:type="dxa"/>
        </w:tblCellMar>
      </w:tblPr>
      <w:tblGrid>
        <w:gridCol w:w="530"/>
        <w:gridCol w:w="60"/>
        <w:gridCol w:w="800"/>
        <w:gridCol w:w="60"/>
        <w:gridCol w:w="905"/>
        <w:gridCol w:w="60"/>
        <w:gridCol w:w="575"/>
        <w:gridCol w:w="60"/>
        <w:gridCol w:w="1100"/>
        <w:gridCol w:w="60"/>
        <w:gridCol w:w="1100"/>
        <w:gridCol w:w="60"/>
        <w:gridCol w:w="148"/>
        <w:gridCol w:w="847"/>
        <w:gridCol w:w="60"/>
        <w:gridCol w:w="140"/>
        <w:gridCol w:w="1520"/>
        <w:gridCol w:w="60"/>
        <w:gridCol w:w="1040"/>
        <w:gridCol w:w="60"/>
        <w:gridCol w:w="144"/>
        <w:gridCol w:w="1031"/>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r>
      <w:tr>
        <w:trPr/>
        <w:tc>
          <w:tcPr>
            <w:tcW w:w="10420"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Class A Common Stock, $0.0001 par value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18,038,282</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847" w:type="dxa"/>
            <w:tcBorders/>
            <w:vAlign w:val="center"/>
          </w:tcPr>
          <w:p>
            <w:pPr>
              <w:pStyle w:val="TableContents"/>
              <w:bidi w:val="0"/>
              <w:spacing w:before="0" w:after="283"/>
              <w:jc w:val="right"/>
              <w:rPr/>
            </w:pPr>
            <w:r>
              <w:rPr/>
              <w:t>10.5025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189,447,056.70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0.0001531</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29,004.34</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6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29,004.34</w:t>
            </w:r>
          </w:p>
        </w:tc>
      </w:tr>
      <w:tr>
        <w:trPr/>
        <w:tc>
          <w:tcPr>
            <w:tcW w:w="636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8" w:space="0" w:color="000000"/>
            </w:tcBorders>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6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double" w:sz="8" w:space="0" w:color="000000"/>
            </w:tcBorders>
            <w:tcMar>
              <w:bottom w:w="28" w:type="dxa"/>
            </w:tcMar>
            <w:vAlign w:val="center"/>
          </w:tcPr>
          <w:p>
            <w:pPr>
              <w:pStyle w:val="TableContents"/>
              <w:bidi w:val="0"/>
              <w:spacing w:before="0" w:after="283"/>
              <w:jc w:val="left"/>
              <w:rPr/>
            </w:pPr>
            <w:r>
              <w:rPr/>
              <w:t>$</w:t>
            </w:r>
          </w:p>
        </w:tc>
        <w:tc>
          <w:tcPr>
            <w:tcW w:w="1031" w:type="dxa"/>
            <w:tcBorders>
              <w:bottom w:val="double" w:sz="8" w:space="0" w:color="000000"/>
            </w:tcBorders>
            <w:tcMar>
              <w:bottom w:w="28" w:type="dxa"/>
            </w:tcMar>
            <w:vAlign w:val="center"/>
          </w:tcPr>
          <w:p>
            <w:pPr>
              <w:pStyle w:val="TableContents"/>
              <w:bidi w:val="0"/>
              <w:spacing w:before="0" w:after="283"/>
              <w:jc w:val="right"/>
              <w:rPr/>
            </w:pPr>
            <w:r>
              <w:rPr/>
              <w:t>29,004.34</w:t>
            </w:r>
          </w:p>
        </w:tc>
      </w:tr>
    </w:tbl>
    <w:p>
      <w:pPr>
        <w:pStyle w:val="TextBody"/>
        <w:bidi w:val="0"/>
        <w:spacing w:before="0" w:after="0"/>
        <w:jc w:val="left"/>
        <w:rPr>
          <w:caps w:val="false"/>
          <w:smallCaps w:val="false"/>
          <w:color w:val="3265FF"/>
        </w:rPr>
      </w:pPr>
      <w:r>
        <w:rPr>
          <w:caps w:val="false"/>
          <w:smallCaps w:val="false"/>
          <w:color w:val="3265FF"/>
        </w:rPr>
        <w:t> </w:t>
      </w:r>
    </w:p>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2"/>
        <w:gridCol w:w="23"/>
        <w:gridCol w:w="9940"/>
      </w:tblGrid>
      <w:tr>
        <w:trPr/>
        <w:tc>
          <w:tcPr>
            <w:tcW w:w="24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both"/>
              <w:rPr/>
            </w:pPr>
            <w:r>
              <w:rPr/>
              <w:t>Pursuant to Rule 416 under the Securities Act of 1933, as amended (the “Securities Act”), this Registration Statement on Form S-8 shall also cover any additional shares of the Registrant’s Class A common stock that become issuable in respect of the securities identified in the above table by reason of any stock dividend, stock split, recapitalization or other similar transaction effected without the Registrant’s receipt of consideration which results in an increase in the number of the outstanding shares of the Registrant’s Class A common stock.</w:t>
              <w:br/>
              <w:br/>
              <w:t>Shares of Class A common stock represents the number of additional shares available for issuance pursuant to the SoundHound AI, Inc. 2022 Equity Incentive Plan (the “2022 Incentive Plan”) pursuant to the evergreen provision of such plan.</w:t>
              <w:br/>
              <w:br/>
              <w:t>Estimated solely for the purpose of calculating the registration fee pursuant to Rules 457(c) and 457(h) of the Securities Act, based on $10.5025, the average of the high and low sales price of a share of the Registrant’s Class A common stock as reported on the Nasdaq Global Market on August 4, 2025.</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0856/000121390022040524/ea162667-s8_soundhound.htm" TargetMode="External"/><Relationship Id="rId3" Type="http://schemas.openxmlformats.org/officeDocument/2006/relationships/hyperlink" Target="https://www.sec.gov/Archives/edgar/data/1840856/000121390024030955/ea0203363-s8_soundhound.htm" TargetMode="External"/><Relationship Id="rId4" Type="http://schemas.openxmlformats.org/officeDocument/2006/relationships/hyperlink" Target="https://www.sec.gov/Archives/edgar/data/1840856/000162828025011821/soun-20241231.htm" TargetMode="External"/><Relationship Id="rId5" Type="http://schemas.openxmlformats.org/officeDocument/2006/relationships/hyperlink" Target="https://www.sec.gov/Archives/edgar/data/1840856/000162828025024654/soun-20250331.htm" TargetMode="External"/><Relationship Id="rId6" Type="http://schemas.openxmlformats.org/officeDocument/2006/relationships/hyperlink" Target="https://www.sec.gov/ix?doc=/Archives/edgar/data/0001840856/000162828025039596/soun-20250630.htm" TargetMode="External"/><Relationship Id="rId7" Type="http://schemas.openxmlformats.org/officeDocument/2006/relationships/hyperlink" Target="https://www.sec.gov/Archives/edgar/data/1840856/000121390025036107/ea0237060-02.htm" TargetMode="External"/><Relationship Id="rId8" Type="http://schemas.openxmlformats.org/officeDocument/2006/relationships/hyperlink" Target="https://www.sec.gov/Archives/edgar/data/1840856/000121390025049463/ea0243781-8k_soundhound.htm" TargetMode="External"/><Relationship Id="rId9" Type="http://schemas.openxmlformats.org/officeDocument/2006/relationships/hyperlink" Target="https://www.sec.gov/Archives/edgar/data/1840856/000121390022011342/f10k2021ex4-6_archimedes.htm" TargetMode="External"/><Relationship Id="rId10" Type="http://schemas.openxmlformats.org/officeDocument/2006/relationships/hyperlink" Target="https://www.sec.gov/Archives/edgar/data/1840856/000121390022023274/ea159193ex10-8_soundhound.htm" TargetMode="External"/><Relationship Id="rId11" Type="http://schemas.openxmlformats.org/officeDocument/2006/relationships/hyperlink" Target="https://www.sec.gov/Archives/edgar/data/1840856/000121390022023274/ea159193ex10-9_soundhound.htm" TargetMode="External"/><Relationship Id="rId12" Type="http://schemas.openxmlformats.org/officeDocument/2006/relationships/image" Target="media/image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4094</Words>
  <Characters>21985</Characters>
  <CharactersWithSpaces>26231</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