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ind w:left="118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Read Instructions (on back page) Before Preparing Form. Please Print or Type.</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INFORMATION CONTAINED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ectPr>
          <w:pgSz w:w="11900" w:h="16838" w:orient="portrait"/>
          <w:cols w:equalWidth="0" w:num="1">
            <w:col w:w="11240"/>
          </w:cols>
          <w:pgMar w:left="320" w:top="509" w:right="339" w:bottom="1440" w:gutter="0" w:footer="0" w:header="0"/>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40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0"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0"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RULES 12b-25(b) AND (c)</w:t>
      </w:r>
    </w:p>
    <w:p>
      <w:pPr>
        <w:sectPr>
          <w:pgSz w:w="11900" w:h="16838" w:orient="portrait"/>
          <w:cols w:equalWidth="0" w:num="1">
            <w:col w:w="11240"/>
          </w:cols>
          <w:pgMar w:left="320" w:top="509" w:right="339" w:bottom="1440" w:gutter="0" w:footer="0" w:header="0"/>
          <w:type w:val="continuous"/>
        </w:sect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980" w:hanging="729"/>
        <w:spacing w:after="0" w:line="250" w:lineRule="auto"/>
        <w:tabs>
          <w:tab w:leader="none" w:pos="65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below in reasonable detail the reasons why the Form 10-K could not be filed within the prescribed time period.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SoundHound AI, Inc. (the “Company”) has determined that it is unable to file its Annual Report on Form 10-K for the fiscal year ended December 31, 2023 (the “Form 10-K”) without unreasonable effort or expense. On February 29, 2024, the Company issued a press release (the “Press Release”) announcing its preliminary financial results for the year ended December 31, 2023. The Company expects to file the Form 10-K on March 1, 2024. The reason that the Company was unable to file timely is because the Company is now a large accelerated filer and required an additional day to file. The Company expects to report in the Form 10-K material weaknesses in its internal control over financial reporting. As a result, both its internal control over financial reporting and its disclosure controls and procedures will be ineffective as of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4380" w:type="dxa"/>
            <w:vAlign w:val="bottom"/>
          </w:tcPr>
          <w:p>
            <w:pPr>
              <w:spacing w:after="0"/>
              <w:rPr>
                <w:sz w:val="20"/>
                <w:szCs w:val="20"/>
                <w:color w:val="auto"/>
              </w:rPr>
            </w:pPr>
          </w:p>
        </w:tc>
      </w:tr>
      <w:tr>
        <w:trPr>
          <w:trHeight w:val="432"/>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4380" w:type="dxa"/>
            <w:vAlign w:val="bottom"/>
          </w:tcPr>
          <w:p>
            <w:pPr>
              <w:spacing w:after="0"/>
              <w:rPr>
                <w:sz w:val="24"/>
                <w:szCs w:val="24"/>
                <w:color w:val="auto"/>
              </w:rPr>
            </w:pPr>
          </w:p>
        </w:tc>
      </w:tr>
      <w:tr>
        <w:trPr>
          <w:trHeight w:val="452"/>
        </w:trPr>
        <w:tc>
          <w:tcPr>
            <w:tcW w:w="68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8"/>
              </w:rPr>
              <w:t>Dr. Keyvan Mohajer</w:t>
            </w:r>
          </w:p>
        </w:tc>
        <w:tc>
          <w:tcPr>
            <w:tcW w:w="43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(408) 441-3200</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10460" w:hanging="206"/>
        <w:spacing w:after="0" w:line="207" w:lineRule="exact"/>
        <w:tabs>
          <w:tab w:leader="none" w:pos="104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10460" w:hanging="205"/>
        <w:spacing w:after="0" w:line="207" w:lineRule="exact"/>
        <w:tabs>
          <w:tab w:leader="none" w:pos="1046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February 29, 2024, the Company issued the Press Release announcing its financial results for the quarter and year ended December 31, 2023, which included a comparison to its results of operations from the corresponding periods in the last fiscal year.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2024-03-01T08:15:14Z</dcterms:created>
  <dcterms:modified xsi:type="dcterms:W3CDTF">2024-03-01T08:15:14Z</dcterms:modified>
</cp:coreProperties>
</file>