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483235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8.05pt" to="576pt,38.0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508635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0.05pt" to="576pt,40.05pt" o:allowincell="f" strokecolor="#000000" strokeweight="0.5009pt">
                <w10:wrap anchorx="page" anchory="page"/>
              </v:line>
            </w:pict>
          </mc:Fallback>
        </mc:AlternateContent>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560"/>
        <w:spacing w:after="0" w:line="229" w:lineRule="auto"/>
        <w:rPr>
          <w:sz w:val="20"/>
          <w:szCs w:val="20"/>
          <w:color w:val="auto"/>
        </w:rPr>
      </w:pPr>
      <w:r>
        <w:rPr>
          <w:rFonts w:ascii="Times New Roman" w:cs="Times New Roman" w:eastAsia="Times New Roman" w:hAnsi="Times New Roman"/>
          <w:sz w:val="20"/>
          <w:szCs w:val="20"/>
          <w:b w:val="1"/>
          <w:bCs w:val="1"/>
          <w:color w:val="auto"/>
        </w:rPr>
        <w:t>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560"/>
        <w:spacing w:after="0" w:line="188" w:lineRule="auto"/>
        <w:rPr>
          <w:sz w:val="20"/>
          <w:szCs w:val="20"/>
          <w:color w:val="auto"/>
        </w:rPr>
      </w:pPr>
      <w:r>
        <w:rPr>
          <w:rFonts w:ascii="Times New Roman" w:cs="Times New Roman" w:eastAsia="Times New Roman" w:hAnsi="Times New Roman"/>
          <w:sz w:val="20"/>
          <w:szCs w:val="20"/>
          <w:b w:val="1"/>
          <w:bCs w:val="1"/>
          <w:color w:val="auto"/>
        </w:rPr>
        <w:t>_________________</w:t>
      </w:r>
    </w:p>
    <w:p>
      <w:pPr>
        <w:spacing w:after="0" w:line="96" w:lineRule="exact"/>
        <w:rPr>
          <w:sz w:val="24"/>
          <w:szCs w:val="24"/>
          <w:color w:val="auto"/>
        </w:rPr>
      </w:pPr>
    </w:p>
    <w:p>
      <w:pPr>
        <w:ind w:left="3520" w:right="380" w:hanging="3145"/>
        <w:spacing w:after="0" w:line="272" w:lineRule="auto"/>
        <w:tabs>
          <w:tab w:leader="none" w:pos="754"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2023</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5" w:lineRule="exact"/>
        <w:rPr>
          <w:sz w:val="24"/>
          <w:szCs w:val="24"/>
          <w:color w:val="auto"/>
        </w:rPr>
      </w:pPr>
    </w:p>
    <w:p>
      <w:pPr>
        <w:ind w:left="3240" w:right="160" w:hanging="3079"/>
        <w:spacing w:after="0" w:line="314" w:lineRule="auto"/>
        <w:tabs>
          <w:tab w:leader="none" w:pos="543" w:val="left"/>
        </w:tabs>
        <w:numPr>
          <w:ilvl w:val="0"/>
          <w:numId w:val="2"/>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from________to________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001-40193</w:t>
      </w:r>
    </w:p>
    <w:p>
      <w:pPr>
        <w:spacing w:after="0" w:line="1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SOUNDHOUND AI, INC.</w:t>
      </w:r>
    </w:p>
    <w:p>
      <w:pPr>
        <w:jc w:val="center"/>
        <w:spacing w:after="0" w:line="199"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ind w:left="4560"/>
        <w:spacing w:after="0" w:line="189" w:lineRule="auto"/>
        <w:rPr>
          <w:sz w:val="20"/>
          <w:szCs w:val="20"/>
          <w:color w:val="auto"/>
        </w:rPr>
      </w:pPr>
      <w:r>
        <w:rPr>
          <w:rFonts w:ascii="Times New Roman" w:cs="Times New Roman" w:eastAsia="Times New Roman" w:hAnsi="Times New Roman"/>
          <w:sz w:val="20"/>
          <w:szCs w:val="20"/>
          <w:b w:val="1"/>
          <w:bCs w:val="1"/>
          <w:color w:val="auto"/>
        </w:rPr>
        <w:t>_________________</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540" w:type="dxa"/>
            <w:vAlign w:val="bottom"/>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6140" w:type="dxa"/>
            <w:vAlign w:val="bottom"/>
            <w:gridSpan w:val="3"/>
          </w:tcPr>
          <w:p>
            <w:pPr>
              <w:jc w:val="right"/>
              <w:ind w:right="2020"/>
              <w:spacing w:after="0"/>
              <w:rPr>
                <w:sz w:val="20"/>
                <w:szCs w:val="20"/>
                <w:color w:val="auto"/>
              </w:rPr>
            </w:pPr>
            <w:r>
              <w:rPr>
                <w:rFonts w:ascii="Times New Roman" w:cs="Times New Roman" w:eastAsia="Times New Roman" w:hAnsi="Times New Roman"/>
                <w:sz w:val="20"/>
                <w:szCs w:val="20"/>
                <w:b w:val="1"/>
                <w:bCs w:val="1"/>
                <w:color w:val="auto"/>
              </w:rPr>
              <w:t>86-1286799</w:t>
            </w:r>
          </w:p>
        </w:tc>
      </w:tr>
      <w:tr>
        <w:trPr>
          <w:trHeight w:val="221"/>
        </w:trPr>
        <w:tc>
          <w:tcPr>
            <w:tcW w:w="4540" w:type="dxa"/>
            <w:vAlign w:val="bottom"/>
            <w:tcBorders>
              <w:top w:val="single" w:sz="8" w:color="auto"/>
            </w:tcBorders>
          </w:tcPr>
          <w:p>
            <w:pPr>
              <w:jc w:val="center"/>
              <w:ind w:left="700"/>
              <w:spacing w:after="0" w:line="221" w:lineRule="exact"/>
              <w:rPr>
                <w:sz w:val="20"/>
                <w:szCs w:val="20"/>
                <w:color w:val="auto"/>
              </w:rPr>
            </w:pPr>
            <w:r>
              <w:rPr>
                <w:rFonts w:ascii="Times New Roman" w:cs="Times New Roman" w:eastAsia="Times New Roman" w:hAnsi="Times New Roman"/>
                <w:sz w:val="20"/>
                <w:szCs w:val="20"/>
                <w:color w:val="auto"/>
              </w:rPr>
              <w:t>(State or other jurisdiction of</w:t>
            </w: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Borders>
              <w:top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(I.R.S. Employer</w:t>
            </w:r>
          </w:p>
        </w:tc>
      </w:tr>
      <w:tr>
        <w:trPr>
          <w:trHeight w:val="223"/>
        </w:trPr>
        <w:tc>
          <w:tcPr>
            <w:tcW w:w="4540" w:type="dxa"/>
            <w:vAlign w:val="bottom"/>
          </w:tcPr>
          <w:p>
            <w:pPr>
              <w:jc w:val="center"/>
              <w:ind w:left="700"/>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21"/>
        </w:trPr>
        <w:tc>
          <w:tcPr>
            <w:tcW w:w="4540" w:type="dxa"/>
            <w:vAlign w:val="bottom"/>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9"/>
              </w:rPr>
              <w:t>5400 Betsy Ross Drive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31"/>
        </w:trPr>
        <w:tc>
          <w:tcPr>
            <w:tcW w:w="4540" w:type="dxa"/>
            <w:vAlign w:val="bottom"/>
          </w:tcPr>
          <w:p>
            <w:pPr>
              <w:jc w:val="center"/>
              <w:ind w:left="640"/>
              <w:spacing w:after="0" w:line="225" w:lineRule="exact"/>
              <w:rPr>
                <w:sz w:val="20"/>
                <w:szCs w:val="20"/>
                <w:color w:val="auto"/>
              </w:rPr>
            </w:pPr>
            <w:r>
              <w:rPr>
                <w:rFonts w:ascii="Times New Roman" w:cs="Times New Roman" w:eastAsia="Times New Roman" w:hAnsi="Times New Roman"/>
                <w:sz w:val="20"/>
                <w:szCs w:val="20"/>
                <w:b w:val="1"/>
                <w:bCs w:val="1"/>
                <w:color w:val="auto"/>
                <w:w w:val="98"/>
              </w:rPr>
              <w:t>Santa Clara, CA</w:t>
            </w:r>
          </w:p>
        </w:tc>
        <w:tc>
          <w:tcPr>
            <w:tcW w:w="6140" w:type="dxa"/>
            <w:vAlign w:val="bottom"/>
            <w:gridSpan w:val="3"/>
          </w:tcPr>
          <w:p>
            <w:pPr>
              <w:jc w:val="right"/>
              <w:ind w:right="2260"/>
              <w:spacing w:after="0" w:line="225" w:lineRule="exact"/>
              <w:rPr>
                <w:sz w:val="20"/>
                <w:szCs w:val="20"/>
                <w:color w:val="auto"/>
              </w:rPr>
            </w:pPr>
            <w:r>
              <w:rPr>
                <w:rFonts w:ascii="Times New Roman" w:cs="Times New Roman" w:eastAsia="Times New Roman" w:hAnsi="Times New Roman"/>
                <w:sz w:val="20"/>
                <w:szCs w:val="20"/>
                <w:b w:val="1"/>
                <w:bCs w:val="1"/>
                <w:color w:val="auto"/>
              </w:rPr>
              <w:t>95054</w:t>
            </w:r>
          </w:p>
        </w:tc>
      </w:tr>
      <w:tr>
        <w:trPr>
          <w:trHeight w:val="224"/>
        </w:trPr>
        <w:tc>
          <w:tcPr>
            <w:tcW w:w="4540" w:type="dxa"/>
            <w:vAlign w:val="bottom"/>
            <w:tcBorders>
              <w:top w:val="single" w:sz="8" w:color="auto"/>
            </w:tcBorders>
          </w:tcPr>
          <w:p>
            <w:pPr>
              <w:jc w:val="center"/>
              <w:ind w:left="700"/>
              <w:spacing w:after="0" w:line="224" w:lineRule="exact"/>
              <w:rPr>
                <w:sz w:val="20"/>
                <w:szCs w:val="20"/>
                <w:color w:val="auto"/>
              </w:rPr>
            </w:pPr>
            <w:r>
              <w:rPr>
                <w:rFonts w:ascii="Times New Roman" w:cs="Times New Roman" w:eastAsia="Times New Roman" w:hAnsi="Times New Roman"/>
                <w:sz w:val="20"/>
                <w:szCs w:val="20"/>
                <w:color w:val="auto"/>
                <w:w w:val="99"/>
              </w:rPr>
              <w:t>(Address of Principal Executive Offices)</w:t>
            </w: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Borders>
              <w:top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(Zip Code)</w:t>
            </w:r>
          </w:p>
        </w:tc>
      </w:tr>
      <w:tr>
        <w:trPr>
          <w:trHeight w:val="240"/>
        </w:trPr>
        <w:tc>
          <w:tcPr>
            <w:tcW w:w="4540" w:type="dxa"/>
            <w:vAlign w:val="bottom"/>
          </w:tcPr>
          <w:p>
            <w:pPr>
              <w:spacing w:after="0"/>
              <w:rPr>
                <w:sz w:val="20"/>
                <w:szCs w:val="20"/>
                <w:color w:val="auto"/>
              </w:rPr>
            </w:pPr>
          </w:p>
        </w:tc>
        <w:tc>
          <w:tcPr>
            <w:tcW w:w="6140" w:type="dxa"/>
            <w:vAlign w:val="bottom"/>
            <w:gridSpan w:val="3"/>
          </w:tcPr>
          <w:p>
            <w:pPr>
              <w:jc w:val="right"/>
              <w:ind w:right="4560"/>
              <w:spacing w:after="0"/>
              <w:rPr>
                <w:sz w:val="20"/>
                <w:szCs w:val="20"/>
                <w:color w:val="auto"/>
              </w:rPr>
            </w:pPr>
            <w:r>
              <w:rPr>
                <w:rFonts w:ascii="Times New Roman" w:cs="Times New Roman" w:eastAsia="Times New Roman" w:hAnsi="Times New Roman"/>
                <w:sz w:val="20"/>
                <w:szCs w:val="20"/>
                <w:b w:val="1"/>
                <w:bCs w:val="1"/>
                <w:color w:val="auto"/>
              </w:rPr>
              <w:t>(408) 441-3200</w:t>
            </w:r>
          </w:p>
        </w:tc>
      </w:tr>
    </w:tbl>
    <w:p>
      <w:pPr>
        <w:jc w:val="center"/>
        <w:spacing w:after="0" w:line="187" w:lineRule="auto"/>
        <w:rPr>
          <w:sz w:val="20"/>
          <w:szCs w:val="20"/>
          <w:color w:val="auto"/>
        </w:rPr>
      </w:pPr>
      <w:r>
        <w:rPr>
          <w:rFonts w:ascii="Times New Roman" w:cs="Times New Roman" w:eastAsia="Times New Roman" w:hAnsi="Times New Roman"/>
          <w:sz w:val="20"/>
          <w:szCs w:val="20"/>
          <w:color w:val="auto"/>
        </w:rPr>
        <w:t>Registrant’s telephone number, including area code</w:t>
      </w:r>
    </w:p>
    <w:p>
      <w:pPr>
        <w:ind w:left="4560"/>
        <w:spacing w:after="0" w:line="188" w:lineRule="auto"/>
        <w:rPr>
          <w:sz w:val="20"/>
          <w:szCs w:val="20"/>
          <w:color w:val="auto"/>
        </w:rPr>
      </w:pPr>
      <w:r>
        <w:rPr>
          <w:rFonts w:ascii="Times New Roman" w:cs="Times New Roman" w:eastAsia="Times New Roman" w:hAnsi="Times New Roman"/>
          <w:sz w:val="20"/>
          <w:szCs w:val="20"/>
          <w:b w:val="1"/>
          <w:bCs w:val="1"/>
          <w:color w:val="auto"/>
        </w:rPr>
        <w:t>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8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2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18"/>
                <w:szCs w:val="18"/>
                <w:color w:val="auto"/>
              </w:rPr>
            </w:pPr>
          </w:p>
        </w:tc>
        <w:tc>
          <w:tcPr>
            <w:tcW w:w="3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8"/>
        </w:trPr>
        <w:tc>
          <w:tcPr>
            <w:tcW w:w="3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80" w:type="dxa"/>
            <w:vAlign w:val="bottom"/>
          </w:tcPr>
          <w:p>
            <w:pPr>
              <w:spacing w:after="0"/>
              <w:rPr>
                <w:sz w:val="17"/>
                <w:szCs w:val="17"/>
                <w:color w:val="auto"/>
              </w:rPr>
            </w:pPr>
          </w:p>
        </w:tc>
        <w:tc>
          <w:tcPr>
            <w:tcW w:w="2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SOUN</w:t>
            </w:r>
          </w:p>
        </w:tc>
        <w:tc>
          <w:tcPr>
            <w:tcW w:w="180" w:type="dxa"/>
            <w:vAlign w:val="bottom"/>
          </w:tcPr>
          <w:p>
            <w:pPr>
              <w:spacing w:after="0"/>
              <w:rPr>
                <w:sz w:val="17"/>
                <w:szCs w:val="17"/>
                <w:color w:val="auto"/>
              </w:rPr>
            </w:pPr>
          </w:p>
        </w:tc>
        <w:tc>
          <w:tcPr>
            <w:tcW w:w="360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183"/>
        </w:trPr>
        <w:tc>
          <w:tcPr>
            <w:tcW w:w="388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Redeemable Warrants</w:t>
            </w:r>
          </w:p>
        </w:tc>
        <w:tc>
          <w:tcPr>
            <w:tcW w:w="180" w:type="dxa"/>
            <w:vAlign w:val="bottom"/>
          </w:tcPr>
          <w:p>
            <w:pPr>
              <w:spacing w:after="0"/>
              <w:rPr>
                <w:sz w:val="15"/>
                <w:szCs w:val="15"/>
                <w:color w:val="auto"/>
              </w:rPr>
            </w:pPr>
          </w:p>
        </w:tc>
        <w:tc>
          <w:tcPr>
            <w:tcW w:w="28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SOUNW</w:t>
            </w:r>
          </w:p>
        </w:tc>
        <w:tc>
          <w:tcPr>
            <w:tcW w:w="180" w:type="dxa"/>
            <w:vAlign w:val="bottom"/>
          </w:tcPr>
          <w:p>
            <w:pPr>
              <w:spacing w:after="0"/>
              <w:rPr>
                <w:sz w:val="15"/>
                <w:szCs w:val="15"/>
                <w:color w:val="auto"/>
              </w:rPr>
            </w:pPr>
          </w:p>
        </w:tc>
        <w:tc>
          <w:tcPr>
            <w:tcW w:w="3600" w:type="dxa"/>
            <w:vAlign w:val="bottom"/>
          </w:tcPr>
          <w:p>
            <w:pPr>
              <w:ind w:left="680"/>
              <w:spacing w:after="0" w:line="183"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5"/>
        </w:trPr>
        <w:tc>
          <w:tcPr>
            <w:tcW w:w="3880" w:type="dxa"/>
            <w:vAlign w:val="bottom"/>
          </w:tcPr>
          <w:p>
            <w:pPr>
              <w:spacing w:after="0"/>
              <w:rPr>
                <w:sz w:val="18"/>
                <w:szCs w:val="18"/>
                <w:color w:val="auto"/>
              </w:rPr>
            </w:pPr>
          </w:p>
        </w:tc>
        <w:tc>
          <w:tcPr>
            <w:tcW w:w="3000" w:type="dxa"/>
            <w:vAlign w:val="bottom"/>
            <w:gridSpan w:val="2"/>
          </w:tcPr>
          <w:p>
            <w:pPr>
              <w:jc w:val="right"/>
              <w:ind w:right="550"/>
              <w:spacing w:after="0" w:line="215" w:lineRule="exact"/>
              <w:rPr>
                <w:sz w:val="20"/>
                <w:szCs w:val="20"/>
                <w:color w:val="auto"/>
              </w:rPr>
            </w:pPr>
            <w:r>
              <w:rPr>
                <w:rFonts w:ascii="Times New Roman" w:cs="Times New Roman" w:eastAsia="Times New Roman" w:hAnsi="Times New Roman"/>
                <w:sz w:val="20"/>
                <w:szCs w:val="20"/>
                <w:b w:val="1"/>
                <w:bCs w:val="1"/>
                <w:color w:val="auto"/>
              </w:rPr>
              <w:t>_________________</w:t>
            </w:r>
          </w:p>
        </w:tc>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ind w:left="480" w:right="2140"/>
        <w:spacing w:after="0" w:line="276"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PMingLiU" w:cs="PMingLiU" w:eastAsia="PMingLiU" w:hAnsi="PMingLiU"/>
          <w:sz w:val="15"/>
          <w:szCs w:val="15"/>
          <w:color w:val="auto"/>
        </w:rPr>
        <w:t>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color w:val="auto"/>
        </w:rPr>
        <w:t>6</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PMingLiU" w:cs="PMingLiU" w:eastAsia="PMingLiU" w:hAnsi="PMingLiU"/>
          <w:sz w:val="15"/>
          <w:szCs w:val="15"/>
          <w:color w:val="auto"/>
        </w:rPr>
        <w:t>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color w:val="auto"/>
        </w:rPr>
        <w:t>6</w:t>
      </w:r>
    </w:p>
    <w:p>
      <w:pPr>
        <w:spacing w:after="0" w:line="17" w:lineRule="exact"/>
        <w:rPr>
          <w:sz w:val="24"/>
          <w:szCs w:val="24"/>
          <w:color w:val="auto"/>
        </w:rPr>
      </w:pPr>
    </w:p>
    <w:p>
      <w:pPr>
        <w:jc w:val="both"/>
        <w:ind w:firstLine="4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6" w:lineRule="exact"/>
        <w:rPr>
          <w:sz w:val="24"/>
          <w:szCs w:val="24"/>
          <w:color w:val="auto"/>
        </w:rPr>
      </w:pPr>
    </w:p>
    <w:p>
      <w:pPr>
        <w:jc w:val="both"/>
        <w:ind w:firstLine="4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6" w:lineRule="exact"/>
        <w:rPr>
          <w:sz w:val="24"/>
          <w:szCs w:val="24"/>
          <w:color w:val="auto"/>
        </w:rPr>
      </w:pPr>
    </w:p>
    <w:p>
      <w:pPr>
        <w:jc w:val="both"/>
        <w:ind w:firstLine="480"/>
        <w:spacing w:after="0" w:line="23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3" w:lineRule="exact"/>
        <w:rPr>
          <w:sz w:val="24"/>
          <w:szCs w:val="24"/>
          <w:color w:val="auto"/>
        </w:rPr>
      </w:pPr>
    </w:p>
    <w:tbl>
      <w:tblPr>
        <w:tblLayout w:type="fixed"/>
        <w:tblInd w:w="480" w:type="dxa"/>
        <w:tblCellMar>
          <w:top w:w="0" w:type="dxa"/>
          <w:left w:w="0" w:type="dxa"/>
          <w:bottom w:w="0" w:type="dxa"/>
          <w:right w:w="0" w:type="dxa"/>
        </w:tblCellMar>
      </w:tblPr>
      <w:tr>
        <w:trPr>
          <w:trHeight w:val="198"/>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60" w:type="dxa"/>
            <w:vAlign w:val="bottom"/>
          </w:tcPr>
          <w:p>
            <w:pPr>
              <w:jc w:val="right"/>
              <w:ind w:right="1600"/>
              <w:spacing w:after="0"/>
              <w:rPr>
                <w:sz w:val="20"/>
                <w:szCs w:val="20"/>
                <w:color w:val="auto"/>
              </w:rPr>
            </w:pPr>
            <w:r>
              <w:rPr>
                <w:rFonts w:ascii="PMingLiU" w:cs="PMingLiU" w:eastAsia="PMingLiU" w:hAnsi="PMingLiU"/>
                <w:sz w:val="16"/>
                <w:szCs w:val="16"/>
                <w:color w:val="auto"/>
              </w:rPr>
              <w:t>6</w:t>
            </w:r>
          </w:p>
        </w:tc>
        <w:tc>
          <w:tcPr>
            <w:tcW w:w="374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t>
            </w:r>
          </w:p>
        </w:tc>
      </w:tr>
      <w:tr>
        <w:trPr>
          <w:trHeight w:val="220"/>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60" w:type="dxa"/>
            <w:vAlign w:val="bottom"/>
          </w:tcPr>
          <w:p>
            <w:pPr>
              <w:jc w:val="right"/>
              <w:ind w:right="1600"/>
              <w:spacing w:after="0"/>
              <w:rPr>
                <w:sz w:val="20"/>
                <w:szCs w:val="20"/>
                <w:color w:val="auto"/>
              </w:rPr>
            </w:pPr>
            <w:r>
              <w:rPr>
                <w:rFonts w:ascii="PMingLiU" w:cs="PMingLiU" w:eastAsia="PMingLiU" w:hAnsi="PMingLiU"/>
                <w:sz w:val="16"/>
                <w:szCs w:val="16"/>
                <w:color w:val="auto"/>
              </w:rPr>
              <w:t></w:t>
            </w:r>
          </w:p>
        </w:tc>
        <w:tc>
          <w:tcPr>
            <w:tcW w:w="374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t>
            </w:r>
          </w:p>
        </w:tc>
      </w:tr>
      <w:tr>
        <w:trPr>
          <w:trHeight w:val="220"/>
        </w:trPr>
        <w:tc>
          <w:tcPr>
            <w:tcW w:w="19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74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t>
            </w:r>
          </w:p>
        </w:tc>
      </w:tr>
    </w:tbl>
    <w:p>
      <w:pPr>
        <w:spacing w:after="0" w:line="43" w:lineRule="exact"/>
        <w:rPr>
          <w:sz w:val="24"/>
          <w:szCs w:val="24"/>
          <w:color w:val="auto"/>
        </w:rPr>
      </w:pPr>
    </w:p>
    <w:p>
      <w:pPr>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43" w:lineRule="exact"/>
        <w:rPr>
          <w:sz w:val="24"/>
          <w:szCs w:val="24"/>
          <w:color w:val="auto"/>
        </w:rPr>
      </w:pPr>
    </w:p>
    <w:p>
      <w:pPr>
        <w:ind w:firstLine="480"/>
        <w:spacing w:after="0" w:line="24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6</w:t>
      </w:r>
    </w:p>
    <w:p>
      <w:pPr>
        <w:spacing w:after="0" w:line="42" w:lineRule="exact"/>
        <w:rPr>
          <w:sz w:val="24"/>
          <w:szCs w:val="24"/>
          <w:color w:val="auto"/>
        </w:rPr>
      </w:pPr>
    </w:p>
    <w:p>
      <w:pPr>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6</w:t>
      </w:r>
    </w:p>
    <w:p>
      <w:pPr>
        <w:spacing w:after="0" w:line="43" w:lineRule="exact"/>
        <w:rPr>
          <w:sz w:val="24"/>
          <w:szCs w:val="24"/>
          <w:color w:val="auto"/>
        </w:rPr>
      </w:pPr>
    </w:p>
    <w:p>
      <w:pPr>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6</w:t>
      </w:r>
    </w:p>
    <w:p>
      <w:pPr>
        <w:spacing w:after="0" w:line="2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43" w:lineRule="exact"/>
        <w:rPr>
          <w:sz w:val="24"/>
          <w:szCs w:val="24"/>
          <w:color w:val="auto"/>
        </w:rPr>
      </w:pPr>
    </w:p>
    <w:p>
      <w:pPr>
        <w:ind w:firstLine="480"/>
        <w:spacing w:after="0" w:line="232"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on June 30, 2023, based on the closing price of $4.55 for shares of the Registrant’s Class A common stock, was approximately $734.4 million.</w:t>
      </w:r>
    </w:p>
    <w:p>
      <w:pPr>
        <w:spacing w:after="0" w:line="44" w:lineRule="exact"/>
        <w:rPr>
          <w:sz w:val="24"/>
          <w:szCs w:val="24"/>
          <w:color w:val="auto"/>
        </w:rPr>
      </w:pPr>
    </w:p>
    <w:p>
      <w:pPr>
        <w:ind w:firstLine="480"/>
        <w:spacing w:after="0" w:line="232" w:lineRule="auto"/>
        <w:rPr>
          <w:sz w:val="20"/>
          <w:szCs w:val="20"/>
          <w:color w:val="auto"/>
        </w:rPr>
      </w:pPr>
      <w:r>
        <w:rPr>
          <w:rFonts w:ascii="Times New Roman" w:cs="Times New Roman" w:eastAsia="Times New Roman" w:hAnsi="Times New Roman"/>
          <w:sz w:val="16"/>
          <w:szCs w:val="16"/>
          <w:color w:val="auto"/>
        </w:rPr>
        <w:t>As of February 26, 2024, there were 273,229,352 shares of the Company’s Class A common stock, $0.0001 par value per share, issued and outstanding, and 35,885,408 shares of the Company’s Class B common stock, $0.0001 par value per share, issued and outstanding.</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ectPr>
          <w:pgSz w:w="12240" w:h="15840" w:orient="portrait"/>
          <w:cols w:equalWidth="0" w:num="1">
            <w:col w:w="10800"/>
          </w:cols>
          <w:pgMar w:left="720" w:top="924" w:right="720" w:bottom="447" w:gutter="0" w:footer="0" w:header="0"/>
        </w:sectPr>
      </w:pPr>
    </w:p>
    <w:p>
      <w:pPr>
        <w:spacing w:after="0" w:line="43" w:lineRule="exact"/>
        <w:rPr>
          <w:sz w:val="24"/>
          <w:szCs w:val="24"/>
          <w:color w:val="auto"/>
        </w:rPr>
      </w:pPr>
    </w:p>
    <w:p>
      <w:pPr>
        <w:jc w:val="both"/>
        <w:ind w:firstLine="480"/>
        <w:spacing w:after="0" w:line="233" w:lineRule="auto"/>
        <w:rPr>
          <w:sz w:val="20"/>
          <w:szCs w:val="20"/>
          <w:color w:val="auto"/>
        </w:rPr>
      </w:pPr>
      <w:r>
        <w:rPr>
          <w:rFonts w:ascii="Times New Roman" w:cs="Times New Roman" w:eastAsia="Times New Roman" w:hAnsi="Times New Roman"/>
          <w:sz w:val="16"/>
          <w:szCs w:val="16"/>
          <w:color w:val="auto"/>
        </w:rPr>
        <w:t>The information required by Part III of this Annual Report, to the extent not set forth herein, is incorporated herein by reference from the registrant’s definitive proxy statement relating to the Annual Meeting of Shareholders to be held in 2024, which definitive proxy statement shall be filed with the Securities and Exchange Commission within 120 days after the end of the fiscal year to which this Annual Report relates.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540pt,8.3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131445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5pt" to="540pt,10.35pt" o:allowincell="f" strokecolor="#000000" strokeweight="1.5pt"/>
            </w:pict>
          </mc:Fallback>
        </mc:AlternateContent>
      </w:r>
    </w:p>
    <w:p>
      <w:pPr>
        <w:sectPr>
          <w:pgSz w:w="12240" w:h="15840" w:orient="portrait"/>
          <w:cols w:equalWidth="0" w:num="1">
            <w:col w:w="10800"/>
          </w:cols>
          <w:pgMar w:left="720" w:top="924" w:right="720" w:bottom="447" w:gutter="0" w:footer="0" w:header="0"/>
          <w:type w:val="continuous"/>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ind w:left="3580"/>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5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8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5372100</wp:posOffset>
                </wp:positionH>
                <wp:positionV relativeFrom="paragraph">
                  <wp:posOffset>13970</wp:posOffset>
                </wp:positionV>
                <wp:extent cx="4953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1.1pt" to="462pt,1.1pt" o:allowincell="f" strokecolor="#000000" strokeweight="0.5pt"/>
            </w:pict>
          </mc:Fallback>
        </mc:AlternateConten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0" w:lineRule="exact"/>
        <w:rPr>
          <w:sz w:val="20"/>
          <w:szCs w:val="20"/>
          <w:color w:val="auto"/>
        </w:rPr>
      </w:pPr>
    </w:p>
    <w:p>
      <w:pPr>
        <w:ind w:left="200"/>
        <w:spacing w:after="0"/>
        <w:tabs>
          <w:tab w:leader="none" w:pos="1080" w:val="left"/>
          <w:tab w:leader="none" w:pos="8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ind w:left="200"/>
        <w:spacing w:after="0"/>
        <w:tabs>
          <w:tab w:leader="none" w:pos="10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30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1"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ind w:left="200"/>
        <w:spacing w:after="0"/>
        <w:tabs>
          <w:tab w:leader="none" w:pos="10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w:t>
      </w:r>
    </w:p>
    <w:p>
      <w:pPr>
        <w:ind w:left="130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w:t>
      </w:r>
      <w:r>
        <w:rPr>
          <w:sz w:val="20"/>
          <w:szCs w:val="20"/>
          <w:color w:val="auto"/>
        </w:rPr>
        <w:tab/>
      </w:r>
      <w:r>
        <w:rPr>
          <w:rFonts w:ascii="Times New Roman" w:cs="Times New Roman" w:eastAsia="Times New Roman" w:hAnsi="Times New Roman"/>
          <w:sz w:val="20"/>
          <w:szCs w:val="20"/>
          <w:color w:val="auto"/>
        </w:rPr>
        <w:t>41</w:t>
      </w:r>
    </w:p>
    <w:p>
      <w:pPr>
        <w:spacing w:after="0" w:line="31"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w:t>
      </w:r>
      <w:r>
        <w:rPr>
          <w:sz w:val="20"/>
          <w:szCs w:val="20"/>
          <w:color w:val="auto"/>
        </w:rPr>
        <w:tab/>
      </w:r>
      <w:r>
        <w:rPr>
          <w:rFonts w:ascii="Times New Roman" w:cs="Times New Roman" w:eastAsia="Times New Roman" w:hAnsi="Times New Roman"/>
          <w:sz w:val="20"/>
          <w:szCs w:val="20"/>
          <w:color w:val="auto"/>
        </w:rPr>
        <w:t>58</w:t>
      </w:r>
    </w:p>
    <w:p>
      <w:pPr>
        <w:spacing w:after="0" w:line="30" w:lineRule="exact"/>
        <w:rPr>
          <w:sz w:val="20"/>
          <w:szCs w:val="20"/>
          <w:color w:val="auto"/>
        </w:rPr>
      </w:pPr>
    </w:p>
    <w:p>
      <w:pPr>
        <w:ind w:left="200"/>
        <w:spacing w:after="0"/>
        <w:tabs>
          <w:tab w:leader="none" w:pos="1080" w:val="left"/>
          <w:tab w:leader="none" w:pos="87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w:t>
      </w:r>
      <w:r>
        <w:rPr>
          <w:sz w:val="20"/>
          <w:szCs w:val="20"/>
          <w:color w:val="auto"/>
        </w:rPr>
        <w:tab/>
      </w:r>
      <w:r>
        <w:rPr>
          <w:rFonts w:ascii="Times New Roman" w:cs="Times New Roman" w:eastAsia="Times New Roman" w:hAnsi="Times New Roman"/>
          <w:sz w:val="20"/>
          <w:szCs w:val="20"/>
          <w:color w:val="auto"/>
        </w:rPr>
        <w:t>59</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 .</w:t>
      </w:r>
      <w:r>
        <w:rPr>
          <w:sz w:val="20"/>
          <w:szCs w:val="20"/>
          <w:color w:val="auto"/>
        </w:rPr>
        <w:tab/>
      </w:r>
      <w:r>
        <w:rPr>
          <w:rFonts w:ascii="Times New Roman" w:cs="Times New Roman" w:eastAsia="Times New Roman" w:hAnsi="Times New Roman"/>
          <w:sz w:val="20"/>
          <w:szCs w:val="20"/>
          <w:color w:val="auto"/>
        </w:rPr>
        <w:t>114</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w:t>
      </w:r>
      <w:r>
        <w:rPr>
          <w:sz w:val="20"/>
          <w:szCs w:val="20"/>
          <w:color w:val="auto"/>
        </w:rPr>
        <w:tab/>
      </w:r>
      <w:r>
        <w:rPr>
          <w:rFonts w:ascii="Times New Roman" w:cs="Times New Roman" w:eastAsia="Times New Roman" w:hAnsi="Times New Roman"/>
          <w:sz w:val="20"/>
          <w:szCs w:val="20"/>
          <w:color w:val="auto"/>
        </w:rPr>
        <w:t>114</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w:t>
      </w:r>
      <w:r>
        <w:rPr>
          <w:sz w:val="20"/>
          <w:szCs w:val="20"/>
          <w:color w:val="auto"/>
        </w:rPr>
        <w:tab/>
      </w:r>
      <w:r>
        <w:rPr>
          <w:rFonts w:ascii="Times New Roman" w:cs="Times New Roman" w:eastAsia="Times New Roman" w:hAnsi="Times New Roman"/>
          <w:sz w:val="20"/>
          <w:szCs w:val="20"/>
          <w:color w:val="auto"/>
        </w:rPr>
        <w:t>116</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w:t>
      </w:r>
      <w:r>
        <w:rPr>
          <w:sz w:val="20"/>
          <w:szCs w:val="20"/>
          <w:color w:val="auto"/>
        </w:rPr>
        <w:tab/>
      </w:r>
      <w:r>
        <w:rPr>
          <w:rFonts w:ascii="Times New Roman" w:cs="Times New Roman" w:eastAsia="Times New Roman" w:hAnsi="Times New Roman"/>
          <w:sz w:val="20"/>
          <w:szCs w:val="20"/>
          <w:color w:val="auto"/>
        </w:rPr>
        <w:t>116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w:t>
      </w:r>
      <w:r>
        <w:rPr>
          <w:sz w:val="20"/>
          <w:szCs w:val="20"/>
          <w:color w:val="auto"/>
        </w:rPr>
        <w:tab/>
      </w:r>
      <w:r>
        <w:rPr>
          <w:rFonts w:ascii="Times New Roman" w:cs="Times New Roman" w:eastAsia="Times New Roman" w:hAnsi="Times New Roman"/>
          <w:sz w:val="20"/>
          <w:szCs w:val="20"/>
          <w:color w:val="auto"/>
        </w:rPr>
        <w:t>117</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w:t>
      </w:r>
      <w:r>
        <w:rPr>
          <w:sz w:val="20"/>
          <w:szCs w:val="20"/>
          <w:color w:val="auto"/>
        </w:rPr>
        <w:tab/>
      </w:r>
      <w:r>
        <w:rPr>
          <w:rFonts w:ascii="Times New Roman" w:cs="Times New Roman" w:eastAsia="Times New Roman" w:hAnsi="Times New Roman"/>
          <w:sz w:val="20"/>
          <w:szCs w:val="20"/>
          <w:color w:val="auto"/>
        </w:rPr>
        <w:t>117</w:t>
      </w:r>
    </w:p>
    <w:p>
      <w:pPr>
        <w:spacing w:after="0" w:line="30" w:lineRule="exact"/>
        <w:rPr>
          <w:sz w:val="20"/>
          <w:szCs w:val="20"/>
          <w:color w:val="auto"/>
        </w:rPr>
      </w:pPr>
    </w:p>
    <w:p>
      <w:pPr>
        <w:ind w:left="200"/>
        <w:spacing w:after="0"/>
        <w:tabs>
          <w:tab w:leader="none" w:pos="108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w:t>
      </w:r>
    </w:p>
    <w:p>
      <w:pPr>
        <w:ind w:left="1300"/>
        <w:spacing w:after="0" w:line="229" w:lineRule="auto"/>
        <w:tabs>
          <w:tab w:leader="none" w:pos="870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w:t>
      </w:r>
      <w:r>
        <w:rPr>
          <w:sz w:val="20"/>
          <w:szCs w:val="20"/>
          <w:color w:val="auto"/>
        </w:rPr>
        <w:tab/>
      </w:r>
      <w:r>
        <w:rPr>
          <w:rFonts w:ascii="Times New Roman" w:cs="Times New Roman" w:eastAsia="Times New Roman" w:hAnsi="Times New Roman"/>
          <w:sz w:val="20"/>
          <w:szCs w:val="20"/>
          <w:color w:val="auto"/>
        </w:rPr>
        <w:t>117</w:t>
      </w:r>
    </w:p>
    <w:p>
      <w:pPr>
        <w:spacing w:after="0" w:line="31"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w:t>
      </w:r>
      <w:r>
        <w:rPr>
          <w:sz w:val="20"/>
          <w:szCs w:val="20"/>
          <w:color w:val="auto"/>
        </w:rPr>
        <w:tab/>
      </w:r>
      <w:r>
        <w:rPr>
          <w:rFonts w:ascii="Times New Roman" w:cs="Times New Roman" w:eastAsia="Times New Roman" w:hAnsi="Times New Roman"/>
          <w:sz w:val="20"/>
          <w:szCs w:val="20"/>
          <w:color w:val="auto"/>
        </w:rPr>
        <w:t>117</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14.</w:t>
        <w:tab/>
        <w:t>Principal Accountant Fees and Services . . . . . . . . . . . . . . . . . . . . . . . . . . . . . . . . . . . . . . . .</w:t>
      </w:r>
      <w:r>
        <w:rPr>
          <w:sz w:val="20"/>
          <w:szCs w:val="20"/>
          <w:color w:val="auto"/>
        </w:rPr>
        <w:tab/>
      </w:r>
      <w:r>
        <w:rPr>
          <w:rFonts w:ascii="Times New Roman" w:cs="Times New Roman" w:eastAsia="Times New Roman" w:hAnsi="Times New Roman"/>
          <w:sz w:val="20"/>
          <w:szCs w:val="20"/>
          <w:color w:val="auto"/>
        </w:rPr>
        <w:t>117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0" w:lineRule="exact"/>
        <w:rPr>
          <w:sz w:val="20"/>
          <w:szCs w:val="20"/>
          <w:color w:val="auto"/>
        </w:rPr>
      </w:pPr>
    </w:p>
    <w:p>
      <w:pPr>
        <w:ind w:left="200"/>
        <w:spacing w:after="0"/>
        <w:tabs>
          <w:tab w:leader="none" w:pos="1080" w:val="left"/>
          <w:tab w:leader="none" w:pos="870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 . . . . . . . . . . . . . . . . . . . . . . . . . . . . . . . . . . . .</w:t>
      </w:r>
      <w:r>
        <w:rPr>
          <w:sz w:val="20"/>
          <w:szCs w:val="20"/>
          <w:color w:val="auto"/>
        </w:rPr>
        <w:tab/>
      </w:r>
      <w:r>
        <w:rPr>
          <w:rFonts w:ascii="Times New Roman" w:cs="Times New Roman" w:eastAsia="Times New Roman" w:hAnsi="Times New Roman"/>
          <w:sz w:val="20"/>
          <w:szCs w:val="20"/>
          <w:color w:val="auto"/>
        </w:rPr>
        <w:t>118</w:t>
      </w:r>
    </w:p>
    <w:p>
      <w:pPr>
        <w:spacing w:after="0" w:line="30" w:lineRule="exact"/>
        <w:rPr>
          <w:sz w:val="20"/>
          <w:szCs w:val="20"/>
          <w:color w:val="auto"/>
        </w:rPr>
      </w:pPr>
    </w:p>
    <w:p>
      <w:pPr>
        <w:ind w:left="200"/>
        <w:spacing w:after="0"/>
        <w:tabs>
          <w:tab w:leader="none" w:pos="1080" w:val="left"/>
          <w:tab w:leader="none" w:pos="872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w:t>
      </w:r>
      <w:r>
        <w:rPr>
          <w:sz w:val="20"/>
          <w:szCs w:val="20"/>
          <w:color w:val="auto"/>
        </w:rPr>
        <w:tab/>
      </w:r>
      <w:r>
        <w:rPr>
          <w:rFonts w:ascii="Times New Roman" w:cs="Times New Roman" w:eastAsia="Times New Roman" w:hAnsi="Times New Roman"/>
          <w:sz w:val="20"/>
          <w:szCs w:val="20"/>
          <w:color w:val="auto"/>
        </w:rPr>
        <w:t>119</w:t>
      </w:r>
    </w:p>
    <w:p>
      <w:pPr>
        <w:spacing w:after="0" w:line="30" w:lineRule="exact"/>
        <w:rPr>
          <w:sz w:val="20"/>
          <w:szCs w:val="20"/>
          <w:color w:val="auto"/>
        </w:rPr>
      </w:pPr>
    </w:p>
    <w:p>
      <w:pPr>
        <w:ind w:left="200"/>
        <w:spacing w:after="0"/>
        <w:tabs>
          <w:tab w:leader="none" w:pos="872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941"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941" w:right="1440" w:bottom="41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This Annual Report on Form 10-K of SoundHound AI, Inc. (“we,” “us,” “our,” “SoundHound,” or the “Company”) contains “forward-looking statements” (as defined in Section 27A of the Securities Act of 1933, as amended, and Section 21E of the Securities Exchange Act of 1934, as amended (the “Exchange Act) that reflect our current expectations and views of future events.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68" w:lineRule="exact"/>
        <w:rPr>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strategy, including launching new product offerings and expanding information and technology capabilities;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market opportunity and our ability to acquire new customers and retain existing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impact of our growth initiatives on our future financial performance;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intellectual property and trade secrets;</w:t>
      </w:r>
    </w:p>
    <w:p>
      <w:pPr>
        <w:spacing w:after="0" w:line="176" w:lineRule="exact"/>
        <w:rPr>
          <w:rFonts w:ascii="Times New Roman" w:cs="Times New Roman" w:eastAsia="Times New Roman" w:hAnsi="Times New Roman"/>
          <w:sz w:val="20"/>
          <w:szCs w:val="20"/>
          <w:color w:val="auto"/>
        </w:rPr>
      </w:pPr>
    </w:p>
    <w:p>
      <w:pPr>
        <w:jc w:val="both"/>
        <w:ind w:left="960" w:right="20" w:hanging="480"/>
        <w:spacing w:after="0" w:line="246"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capital, as necessary, including equity or debt financing, on terms that are acceptable to us, if at all, particularly in light of inflationary pressures and resulting increases in the cost of borrowing;</w:t>
      </w:r>
    </w:p>
    <w:p>
      <w:pPr>
        <w:spacing w:after="0" w:line="172"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laws or regulations and extensive and evolving government regulations that impact our operations and business;</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or maintain a qualified workforce, particularly following our recent restructuring efforts;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of product service failures that could lead our customers to use competitors’ services;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claims, disputes, enforcement actions, litigation and/or other regulatory or legal proceedings, including with respect to our AI technology;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relating to uncertainty of our estimates of market opportunity and forecasts of market growth;</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listing of our Class A Common Stock on the Nasdaq Global Market;</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economic, business, and/or competitive factors;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described under the section titled “Risk Factors” in this Annual Report.</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You should thoroughly read this Annual Report and the documents that we refer to with the understanding that our actual future results may be materially different from, and worse than, what we expect. We qualify all of our forward-looking statements by these cautionary statements.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4" w:name="page5"/>
    <w:bookmarkEnd w:id="4"/>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forward-looking statements made in this Annual Report relate only to events or information as of the date of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completely and with the understanding that our actual future results may be materially different from what we expect.</w:t>
      </w:r>
    </w:p>
    <w:p>
      <w:pPr>
        <w:sectPr>
          <w:pgSz w:w="12240" w:h="15840" w:orient="portrait"/>
          <w:cols w:equalWidth="0" w:num="1">
            <w:col w:w="9360"/>
          </w:cols>
          <w:pgMar w:left="1440" w:top="948"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9360"/>
          </w:cols>
          <w:pgMar w:left="1440" w:top="948" w:right="1440" w:bottom="353"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Mission</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6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significant addressable market</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 Custom, branded voice assistants are allowing companies to improve their customer interactions at every touchpoint. According to Juniper Research, the broader market for Voice AI transactions will exceed $160 billion by 2026, enabled by a growing need for Voice AI in many industries including IoT, automotive, restaurants, Smart TVs, retail, hospitality, enterprise, contact center, home services, personal care, professional services, among many others.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80"/>
          </w:cols>
          <w:pgMar w:left="1440" w:top="941" w:right="1420" w:bottom="34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believe that Voice AI will be the next major technology disruption in computing.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we believe that voice will be the preferred or the only way to interact with these devices.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Technical Development</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2005,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5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SoundHound’s technology represents the evolution of several disruptive breakthroughs in voice-AI and sound recognition developed over almost two decades. Using innovative audio and music identification technology, in 2009, our founders launched the SoundHound music identification app. Since its inception, the app has received over 300 million downloads.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After we went public in 2022, SoundHound rapidly introduced innovation to the market with Smart Ordering, Dynamic InteractionTM, SoundHound Chat AI, and Smart Answering, among others products (see “Products and Technology” hereafter).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SoundHound’s Vision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 typical reaction to SoundHound’s technology is “Wow! Even humans cannot do this.” This is the crux of our vision: </w:t>
      </w:r>
      <w:r>
        <w:rPr>
          <w:rFonts w:ascii="Times New Roman" w:cs="Times New Roman" w:eastAsia="Times New Roman" w:hAnsi="Times New Roman"/>
          <w:sz w:val="20"/>
          <w:szCs w:val="20"/>
          <w:i w:val="1"/>
          <w:iCs w:val="1"/>
          <w:color w:val="auto"/>
        </w:rPr>
        <w:t>Create a Voice AI platform that exceeds human capabilities and brings value and delight via an ecosystem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billions of products enhanced by innovation and monetization opportunities.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1" w:right="1440" w:bottom="348" w:gutter="0" w:footer="0" w:header="0"/>
          <w:type w:val="continuous"/>
        </w:sectPr>
      </w:pPr>
    </w:p>
    <w:bookmarkStart w:id="8" w:name="page9"/>
    <w:bookmarkEnd w:id="8"/>
    <w:p>
      <w:pPr>
        <w:jc w:val="both"/>
        <w:spacing w:after="0" w:line="265" w:lineRule="auto"/>
        <w:rPr>
          <w:sz w:val="20"/>
          <w:szCs w:val="20"/>
          <w:color w:val="auto"/>
        </w:rPr>
      </w:pPr>
      <w:r>
        <w:rPr>
          <w:rFonts w:ascii="Times New Roman" w:cs="Times New Roman" w:eastAsia="Times New Roman" w:hAnsi="Times New Roman"/>
          <w:sz w:val="19"/>
          <w:szCs w:val="19"/>
          <w:color w:val="auto"/>
        </w:rPr>
        <w:t>With SoundHound’s technology, users can ask even more complicated questions, such as: “show me Asian restaurants in San Francisco, excluding Chinese and Japanese, and only show the ones that have more than three stars and are open after 9:00 PM on Wednesdays.” In addition, users can follow up and ask it to refine the criteria such as “remove Korean and Vietnamese, sort by rating then by price, and only show the ones that are good for kids and have a patio.”</w:t>
      </w:r>
    </w:p>
    <w:p>
      <w:pPr>
        <w:spacing w:after="0" w:line="15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Additionally, through SoundHound’s AI-driven restaurant voice ordering solution, Smart Ordering, automated voice technology can be deployed by any restaurant to take food and drink orders over the phone, via menu kiosks or at the drive-thru. Its sophisticated technology learns the menu of each business and can answer questions, accept modifications and even upsell, helping the restaurant process more orders quickly and efficiently.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vision further includes empowering billions of devices around the world using our technology, with innovation and monetization opportunities for the product creators that integrate to our platform. It means product creators can not only use Voice AI to make their product better; they can also generate incremental recurring revenues from customer interactions.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Technology</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SoundHound’s momentum in the Voice AI market can, in large part, be attributed to our large number of technology breakthroughs.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Houndify Platform</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Houndify provides a web API that takes in text queries or audio and returns actionable JavaScript Object Notation to anyone with an internet connection wanting to add Voice AI to any product or application.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CaiNET and CaiLAN Expert Domain Selections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CaiNET software uses machine learning to enhance how domains work together to better handle complex queries including natural language processing, predictive analytics, and building language models, or translation of speech.</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Automatic Speech Recognition (“ASR”)</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73"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8" w:right="1440" w:bottom="34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Natural Language Understanding (“NLU”)</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2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These technologies are anchored by three important innovations: Speech-to-Meaning, Deep Meaning Understanding and Collective AI.</w:t>
      </w:r>
    </w:p>
    <w:p>
      <w:pPr>
        <w:spacing w:after="0" w:line="17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Deep Meaning Understanding is our innovative approach to language understanding that allows our Voice AI platform to understand highly complex conversation.</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Collective AI is an architecture that gives potential to SoundHound to improve the understanding capability of its platform exponentially based on linear contributions.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Smart Ordering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1" w:right="1440" w:bottom="348"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i w:val="1"/>
          <w:iCs w:val="1"/>
          <w:color w:val="auto"/>
        </w:rPr>
        <w:t>Dynamic Interaction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SoundHound Chat AI</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launched SoundHound Chat AI, which we believe will usher in a new phase of voice-enabled, conversational AI by combining the power of software engineering and machine learning generative AI.</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Smart Answering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Wake Words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5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 Domains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Text-to-speech (“TTS”)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A high quality TTS helps companies create a unique voice that differentiates them from the competition. Brands can fully express their personality by choosing the gender, tone, and personality that will become their vocal identity.</w:t>
      </w:r>
    </w:p>
    <w:p>
      <w:pPr>
        <w:spacing w:after="0" w:line="15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1" w:right="1440" w:bottom="34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Edge and Cloud Connectivity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spacing w:after="0" w:line="173"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With Cloud we equip your voice assistant with real-time data from the cloud, deliver the most relevant responses with no CPU or memory restrictions, and retain ownership of customer relationships with access to data and analytics.</w:t>
      </w:r>
    </w:p>
    <w:p>
      <w:pPr>
        <w:spacing w:after="0" w:line="15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Toharnessthecapabilitiesoffullcloudconnectivitywiththereliabilityofembeddededgevoicetechnology.Houndify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 and Differentiators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Voice AI market currently also includes “legacy vendors,” a number of whom we believe offer dated technologies.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70"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With the recent popularization of Generative AI and Large Language Models in early 2023, we view this as an inflection point for Conversational AI, with a clear intersection between technology readiness and subsequent demand and adoption. Such intersections are rare, and SoundHound is in a unique position to create tremendous value.</w:t>
      </w:r>
    </w:p>
    <w:p>
      <w:pPr>
        <w:spacing w:after="0" w:line="15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the impact of Generative AI and Large Language Models to the field of Conversational AI is similar to the impact of Deep Neural Networks to Machine Learning: Better quality models can be created faster and with fewer tedious engineering requirements. And we view the market impact of this to be transformative, similar to the mobile ecosystem disruption of the last decade. Fast movers like us will create tremendous value.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1" w:right="1440" w:bottom="34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Revenue Model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Momentum</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Building a Diverse, Global Customer Base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 continues to expand the capabilities that make us well-positioned to serve the needs of customers globally. We have grown our solution from a single language capability to 25 languages.</w:t>
      </w:r>
    </w:p>
    <w:p>
      <w:pPr>
        <w:spacing w:after="0" w:line="17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pillars for growth</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168" w:lineRule="exact"/>
        <w:rPr>
          <w:sz w:val="20"/>
          <w:szCs w:val="20"/>
          <w:color w:val="auto"/>
        </w:rPr>
      </w:pPr>
    </w:p>
    <w:p>
      <w:pPr>
        <w:jc w:val="both"/>
        <w:ind w:left="960" w:hanging="480"/>
        <w:spacing w:after="0" w:line="247"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Royalties</w:t>
      </w:r>
      <w:r>
        <w:rPr>
          <w:rFonts w:ascii="Times New Roman" w:cs="Times New Roman" w:eastAsia="Times New Roman" w:hAnsi="Times New Roman"/>
          <w:sz w:val="20"/>
          <w:szCs w:val="20"/>
          <w:color w:val="auto"/>
        </w:rPr>
        <w:t>: This involves voice-enabling a product. The product creator pays us a royalty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volume, usage, or duration. SoundHound collects royalties when our platform is integrated into a product such as a car, smart TV, or IoT.</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Subscription</w:t>
      </w:r>
      <w:r>
        <w:rPr>
          <w:rFonts w:ascii="Times New Roman" w:cs="Times New Roman" w:eastAsia="Times New Roman" w:hAnsi="Times New Roman"/>
          <w:sz w:val="20"/>
          <w:szCs w:val="20"/>
          <w:color w:val="auto"/>
        </w:rPr>
        <w:t>: This involves voice-enabling a service that doesn’t rely on a physical product. Examples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when SoundHound enables customer service or food ordering for restaurants or content management, appointments, or voice commerce, we generate subscription revenue from the service providers.</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Monetization</w:t>
      </w:r>
      <w:r>
        <w:rPr>
          <w:rFonts w:ascii="Times New Roman" w:cs="Times New Roman" w:eastAsia="Times New Roman" w:hAnsi="Times New Roman"/>
          <w:sz w:val="20"/>
          <w:szCs w:val="20"/>
          <w:color w:val="auto"/>
        </w:rPr>
        <w:t>: This pillar creates an ecosystem that enables monetization services in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services from both pillar one and pillar two. When users of a voice-enabled product access the voice-enabled monetization, this creates new leads and transactions. SoundHound generates monetization revenue for generating these leads and transactions, and will share revenue with the product creators.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we expect the cycle will perpetually continue to expand and create an ecosystem with a compound impact on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SoundHound’s criteria for adoption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it comes to criteria for adoption, our goal is to win on every dimension. We believe our product will be adopted because customers typically choose the best technology and want to own their brand and control their data. We strive to provide our customers with the best technology, and we can provide a white label solution giving our customers control of their brands. In some industries you may have to choose between technology and brand control. In our case, we aim to offer our customers the best of both, enabling them to offer disruptive technologies to their users while maintaining control of their brand and user experience.</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With our disruptive monetization strategy, we also provide a path to monetization. By choosing our platform, product creators can generate additional revenue while making their product better using Voice AI, providing further incentive to choose our platform.</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1" w:right="1440" w:bottom="348" w:gutter="0" w:footer="0" w:header="0"/>
          <w:type w:val="continuous"/>
        </w:sectPr>
      </w:pPr>
    </w:p>
    <w:bookmarkStart w:id="13" w:name="page14"/>
    <w:bookmarkEnd w:id="13"/>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offer an ecosystem with our expert domain selections that seamlessly arbitrates between LLMs and real time domains and limits “AI hallucinations”, along with definable privacy controls, which are becoming increasingly important in the industry of Voice AI. We also offer edge, cloud and hybrid solutions, which means our technology can optionally run without a cloud connection for increased flexibility and privacy. Our focus is on delivering the most advanced Voice AI in the world and thus allowing our partners to differentiate and innovate their overall experiences for their brands. Additionally, there is no conflict of interest between us and our partners and customers as we do not compete with them (as some other Voice AI vendors do).</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platform to access the ever-growing set of domains, but the product creators can innovate on top of platform and create value for the end users in their own way.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take an insight-driven, account-based marketing approach to build and expand our relationships with customers and partners. We collect feedback directly from them to garner insights that help drive the business and product. We also work with analysts and higher education institutions to conduct studies, test and validate technology performance, providing key proof points for those considering our products. In parallel, marketing and communications drive our brand equity and narrative through ongoing announcements, campaigns, events, speaking opportunities, and public relations efforts.</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demand generation efforts span the full customer funnel to target prospects across a variety of channels including: advertising, email, social media, search engines and many other digital channels.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and marketing will play a critical role in the next phase of our evolution as a company, with key ongoing investments in our team and leadership. While our products are already scaling with existing customers, markets and verticals, we see significant opportunities to grow into new ones. Increased sales and marketing efforts will enable us to capitalize on the tremendous momentum we are building and we expect to continue expanding resources to grow our personnel and leadership team focused on sales and marketing.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intellectual property portfolio includes over 155 patents granted and over 115 patents pending worldwide. These patents cover areas such as speech recognition, natural language understanding, machine learning, human interfaces, and others, including monetization and advertising.</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Out of our 270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8" w:right="1440" w:bottom="348"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At SoundHound, our success is driven by the quality of our people, who we believe are among the best and brightest in the industry. We strive to create an environment that supports employee success and a culture where everyone has a voice in driving innovation.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2023, we had approximately 260 full-time employees, of which approximately 54% were in the United States and 46% were in our international locations. We have not experienced work stoppages and believe our employee relations are good.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Experience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the vast majority of SoundHound’s employees, productivity is not tied to being in an office and collaboration can happen between people anywhere. SoundHound’s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Diversity and Inclusion</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We recognize that everyone deserves respect and equal treatment, regardless of gender, race, ethnicity, age, disability, sexual orientation, gender identity, cultural background or religious belief. We are creating an inclusive workplace through community-building, training and internal awareness. In 2023, we continued to support our many community partners and employee resource groups that build community for employees from underrepresented groups.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website is located at </w:t>
      </w:r>
      <w:r>
        <w:rPr>
          <w:rFonts w:ascii="Times New Roman" w:cs="Times New Roman" w:eastAsia="Times New Roman" w:hAnsi="Times New Roman"/>
          <w:sz w:val="20"/>
          <w:szCs w:val="20"/>
          <w:i w:val="1"/>
          <w:iCs w:val="1"/>
          <w:color w:val="auto"/>
        </w:rPr>
        <w:t>www.soundhound.com</w:t>
      </w:r>
      <w:r>
        <w:rPr>
          <w:rFonts w:ascii="Times New Roman" w:cs="Times New Roman" w:eastAsia="Times New Roman" w:hAnsi="Times New Roman"/>
          <w:sz w:val="20"/>
          <w:szCs w:val="20"/>
          <w:color w:val="auto"/>
        </w:rPr>
        <w:t xml:space="preserve">, and our investor relations website is located at </w:t>
      </w:r>
      <w:r>
        <w:rPr>
          <w:rFonts w:ascii="Times New Roman" w:cs="Times New Roman" w:eastAsia="Times New Roman" w:hAnsi="Times New Roman"/>
          <w:sz w:val="20"/>
          <w:szCs w:val="20"/>
          <w:i w:val="1"/>
          <w:iCs w:val="1"/>
          <w:color w:val="auto"/>
        </w:rPr>
        <w:t>investors.soundhound.com</w:t>
      </w:r>
      <w:r>
        <w:rPr>
          <w:rFonts w:ascii="Times New Roman" w:cs="Times New Roman" w:eastAsia="Times New Roman" w:hAnsi="Times New Roman"/>
          <w:sz w:val="20"/>
          <w:szCs w:val="20"/>
          <w:color w:val="auto"/>
        </w:rPr>
        <w:t>. Access to copies of our Annual Reports on Form 10-K, Quarterly Reports on Form 10-Q,</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Reports on Form 8-K, and our Proxy Statements, and any amendments to these reports, is available via a link through our investor relations website, free of charge, after we file or furnish them with the SEC and they are available on the SEC’s website. We also utilize our investor relations website to webcast our earnings calls and provide notifications of news or announcements regarding our business updates, financial performance and other items that may be material or of interest to our investors, including SEC filings, investor events, press releases and earnings releases. Further, corporate governance information, including our certificate of incorporation, bylaws,</w:t>
      </w:r>
    </w:p>
    <w:p>
      <w:pPr>
        <w:sectPr>
          <w:pgSz w:w="12240" w:h="15840" w:orient="portrait"/>
          <w:cols w:equalWidth="0" w:num="1">
            <w:col w:w="9360"/>
          </w:cols>
          <w:pgMar w:left="1440" w:top="941" w:right="1440" w:bottom="348"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1" w:right="1440" w:bottom="348" w:gutter="0" w:footer="0" w:header="0"/>
          <w:type w:val="continuous"/>
        </w:sectPr>
      </w:pPr>
    </w:p>
    <w:bookmarkStart w:id="15" w:name="page16"/>
    <w:bookmarkEnd w:id="15"/>
    <w:p>
      <w:pPr>
        <w:jc w:val="both"/>
        <w:spacing w:after="0" w:line="248" w:lineRule="auto"/>
        <w:rPr>
          <w:sz w:val="20"/>
          <w:szCs w:val="20"/>
          <w:color w:val="auto"/>
        </w:rPr>
      </w:pPr>
      <w:r>
        <w:rPr>
          <w:rFonts w:ascii="Times New Roman" w:cs="Times New Roman" w:eastAsia="Times New Roman" w:hAnsi="Times New Roman"/>
          <w:sz w:val="20"/>
          <w:szCs w:val="20"/>
          <w:color w:val="auto"/>
        </w:rPr>
        <w:t>governance guidelines, board committee charters, and code of ethics, is also available on our investor relations website.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7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Investing in our securities involves a high degree of risk. You should carefully consider the following information about these risks, together with the other information appearing elsewhere in this Annual Report, including our financial statements, the notes thereto and the section entitled “Management’s Discussion and Analysis of Financial Condition and Results of Operations.”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risk factors described below are a summary of the principal risk factors associated with an investment in us. These are not the only risks we face. You should carefully consider these risk factors and the other reports and documents filed by us with the SEC.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Financial Condition</w:t>
      </w:r>
    </w:p>
    <w:p>
      <w:pPr>
        <w:spacing w:after="0" w:line="177" w:lineRule="exact"/>
        <w:rPr>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generated substantial net losses and negative operating cash flows since inception and may never achieve or maintain profitability or generate positive cash flows;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require additional capital to continue planned business operations but may not be able to obtain such capital when desired on favorable terms, if at all, or without dilution to our stockholders;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could be materially and adversely affected if it loses any of its largest customers due to concentration risk;</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in which we operate is highly competitive and rapidly changing and we may be unable to compete successfully;</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conditions in the Voice AI market or the global economy more generally could have adverse effects on our results of operations;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could be materially and adversely affected if we lose any of our largest customers, many of which are OEMs;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skilled employees and 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7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Cybersecurity and data privacy incidents or breaches may damage client relations and inhibit our growth;</w:t>
      </w:r>
    </w:p>
    <w:p>
      <w:pPr>
        <w:spacing w:after="0" w:line="181"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a variety of domestic and international laws, rules, policies and other obligations, including data protection and anticorruption;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or delays in our services or services from data center hosting facilities or public clouds could impair the delivery of services and harm our business;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third-party telecommunications and internet service providers, including connectivity to our cloud software, and any failure by these service providers to provide reliable services could cause us to lose customers and subject us to claims for credits or damages, among other things;</w:t>
      </w:r>
    </w:p>
    <w:p>
      <w:pPr>
        <w:sectPr>
          <w:pgSz w:w="12240" w:h="15840" w:orient="portrait"/>
          <w:cols w:equalWidth="0" w:num="1">
            <w:col w:w="9360"/>
          </w:cols>
          <w:pgMar w:left="1440" w:top="948" w:right="1440" w:bottom="348"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8" w:right="1440" w:bottom="348" w:gutter="0" w:footer="0" w:header="0"/>
          <w:type w:val="continuous"/>
        </w:sectPr>
      </w:pPr>
    </w:p>
    <w:bookmarkStart w:id="16" w:name="page17"/>
    <w:bookmarkEnd w:id="16"/>
    <w:p>
      <w:pPr>
        <w:jc w:val="both"/>
        <w:ind w:left="960" w:hanging="480"/>
        <w:spacing w:after="0" w:line="248"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rely on third-party telecommunications and internet service providers to provide them with access and connectivity to our cloud software, and changes in how telecommunication and internet service providers handle and charge for access to telecommunications and the internet could materially harm our customer relationships, business, financial condition and operations results;</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and enhance our brand or reputation as an industry leader, our operating results may be adversely affected;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acquisition of Synq3, Inc. and any potential future acquisitions or strategic transactions may subject us to various risks that could adversely affect our business and for which we may not achieve the anticipated benefit of such a transaction;</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and may identify additional material weaknesses in the future, which may result in material misstatements of our consolidated financial statements or cause us to fail to meet its periodic reporting obligations and the trading price of our stock could be negatively affected.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Intellectual Property and Technology</w:t>
      </w:r>
    </w:p>
    <w:p>
      <w:pPr>
        <w:spacing w:after="0" w:line="177" w:lineRule="exact"/>
        <w:rPr>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use of open source technology could impose limitations on our ability to commercialize our software;</w:t>
      </w:r>
    </w:p>
    <w:p>
      <w:pPr>
        <w:spacing w:after="0" w:line="181" w:lineRule="exact"/>
        <w:rPr>
          <w:rFonts w:ascii="Times New Roman" w:cs="Times New Roman" w:eastAsia="Times New Roman" w:hAnsi="Times New Roman"/>
          <w:sz w:val="19"/>
          <w:szCs w:val="19"/>
          <w:color w:val="auto"/>
        </w:rPr>
      </w:pPr>
    </w:p>
    <w:p>
      <w:pPr>
        <w:jc w:val="both"/>
        <w:ind w:left="960" w:hanging="480"/>
        <w:spacing w:after="0" w:line="246"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have claimed in the past and may claim in the future that we are infringing their intellectual property, and we could be exposed to significant litigation or licensing expenses or be prevented from selling our products or making our technologies available to our customers if such claims are successful;</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Unauthorized use of our proprietary technology and intellectual property could adversely affect our business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Securities and our Dual Class Common Stock Structure</w:t>
      </w:r>
    </w:p>
    <w:p>
      <w:pPr>
        <w:spacing w:after="0" w:line="170" w:lineRule="exact"/>
        <w:rPr>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and trading volume may fluctuate significantly;</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management has limited experience in operating a public company. The requirements of being a public company may strain our resources and divert management’s attention, and the increases in legal, accounting and compliance expenses may be greater than we anticipate;</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66" w:lineRule="auto"/>
        <w:tabs>
          <w:tab w:leader="none" w:pos="96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U.S. and International Taxation</w:t>
      </w:r>
    </w:p>
    <w:p>
      <w:pPr>
        <w:spacing w:after="0" w:line="170" w:lineRule="exact"/>
        <w:rPr>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its net operating loss carryforwards and certain other tax attributes may be limited.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SoundHound’s Business and Financial Condition</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market in which SoundHound operates is highly competitive and rapidly changing and SoundHound may be unable to compete successfully.</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w:t>
      </w:r>
    </w:p>
    <w:p>
      <w:pPr>
        <w:sectPr>
          <w:pgSz w:w="12240" w:h="15840" w:orient="portrait"/>
          <w:cols w:equalWidth="0" w:num="1">
            <w:col w:w="9360"/>
          </w:cols>
          <w:pgMar w:left="1440" w:top="948" w:right="1440" w:bottom="348"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9"/>
          <w:szCs w:val="19"/>
          <w:color w:val="auto"/>
        </w:rPr>
        <w:t>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58"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Adverse conditions in the Voice AI market or the global economy more generally could have adverse effects on SoundHound’s results of operations.</w:t>
      </w:r>
    </w:p>
    <w:p>
      <w:pPr>
        <w:spacing w:after="0" w:line="177" w:lineRule="exact"/>
        <w:rPr>
          <w:sz w:val="20"/>
          <w:szCs w:val="20"/>
          <w:color w:val="auto"/>
        </w:rPr>
      </w:pPr>
    </w:p>
    <w:p>
      <w:pPr>
        <w:jc w:val="both"/>
        <w:ind w:firstLine="480"/>
        <w:spacing w:after="0" w:line="279" w:lineRule="auto"/>
        <w:rPr>
          <w:sz w:val="20"/>
          <w:szCs w:val="20"/>
          <w:color w:val="auto"/>
        </w:rPr>
      </w:pPr>
      <w:r>
        <w:rPr>
          <w:rFonts w:ascii="Times New Roman" w:cs="Times New Roman" w:eastAsia="Times New Roman" w:hAnsi="Times New Roman"/>
          <w:sz w:val="18"/>
          <w:szCs w:val="18"/>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 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200" w:lineRule="exact"/>
        <w:rPr>
          <w:sz w:val="20"/>
          <w:szCs w:val="20"/>
          <w:color w:val="auto"/>
        </w:rPr>
      </w:pPr>
    </w:p>
    <w:p>
      <w:pPr>
        <w:spacing w:after="0" w:line="2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73" w:lineRule="exact"/>
        <w:rPr>
          <w:sz w:val="20"/>
          <w:szCs w:val="20"/>
          <w:color w:val="auto"/>
        </w:rPr>
      </w:pPr>
    </w:p>
    <w:p>
      <w:pPr>
        <w:jc w:val="both"/>
        <w:ind w:firstLine="480"/>
        <w:spacing w:after="0" w:line="282" w:lineRule="auto"/>
        <w:rPr>
          <w:sz w:val="20"/>
          <w:szCs w:val="20"/>
          <w:color w:val="auto"/>
        </w:rPr>
      </w:pPr>
      <w:r>
        <w:rPr>
          <w:rFonts w:ascii="Times New Roman" w:cs="Times New Roman" w:eastAsia="Times New Roman" w:hAnsi="Times New Roman"/>
          <w:sz w:val="18"/>
          <w:szCs w:val="18"/>
          <w:color w:val="auto"/>
        </w:rPr>
        <w:t>SoundHound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w:t>
      </w:r>
    </w:p>
    <w:p>
      <w:pPr>
        <w:sectPr>
          <w:pgSz w:w="12240" w:h="15840" w:orient="portrait"/>
          <w:cols w:equalWidth="0" w:num="1">
            <w:col w:w="9360"/>
          </w:cols>
          <w:pgMar w:left="1440" w:top="948" w:right="1440" w:bottom="348"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8" w:right="1440" w:bottom="348" w:gutter="0" w:footer="0" w:header="0"/>
          <w:type w:val="continuous"/>
        </w:sectPr>
      </w:pPr>
    </w:p>
    <w:bookmarkStart w:id="18" w:name="page19"/>
    <w:bookmarkEnd w:id="18"/>
    <w:p>
      <w:pPr>
        <w:jc w:val="both"/>
        <w:spacing w:after="0" w:line="248" w:lineRule="auto"/>
        <w:rPr>
          <w:sz w:val="20"/>
          <w:szCs w:val="20"/>
          <w:color w:val="auto"/>
        </w:rPr>
      </w:pPr>
      <w:r>
        <w:rPr>
          <w:rFonts w:ascii="Times New Roman" w:cs="Times New Roman" w:eastAsia="Times New Roman" w:hAnsi="Times New Roman"/>
          <w:sz w:val="20"/>
          <w:szCs w:val="20"/>
          <w:color w:val="auto"/>
        </w:rPr>
        <w:t>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Pricing pressures from SoundHound’s customers may adversely affect its results of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5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SoundHound’s operating results could be materially and adversely affected if it loses any of its largest customers.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w:t>
      </w:r>
    </w:p>
    <w:p>
      <w:pPr>
        <w:sectPr>
          <w:pgSz w:w="12240" w:h="15840" w:orient="portrait"/>
          <w:cols w:equalWidth="0" w:num="1">
            <w:col w:w="9360"/>
          </w:cols>
          <w:pgMar w:left="1440" w:top="948"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8" w:right="1440" w:bottom="348" w:gutter="0" w:footer="0" w:header="0"/>
          <w:type w:val="continuous"/>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9"/>
          <w:szCs w:val="19"/>
          <w:color w:val="auto"/>
        </w:rPr>
        <w:t>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years ended December 31, 2023, two customers accounted for 62% of SoundHound’s total revenues. During the years ended December 31, 2022 and 2021, three customers accounted for the following approximate percentages of SoundHound’s total revenues during the respective applicable period: 67% and 61%. Accounts receivable balances due from three customers collectively totaled 87% of the Company’s consolidated accounts receivable balance at December 31, 2023. Accounts receivable balances due from two customers collectively totaled 75% of the Company’s consolidated accounts receivable balance at December 31, 2022. The unbilled receivables balances from three customers collectively totaled 86% of the Company’s consolidated unbilled receivables balance at December 31, 2023. The unbilled receivables balances from three customers collectively totaled 78% of the Company’s consolidated unbilled receivables balance at December 31, 2022.</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Adverse economic conditions or reduced technology spending may adversely impact SoundHound’s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depends on the overall demand for technology and on the economic performance of our current and prospective customers. In general, worldwide economic conditions may remain unstable, including inflation,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 could adversely impact our business and results of operations in a number of ways, including longer sales cycles, lower demand or prices for our platform, fewer subscriptions and lower or no growth. For example, increased inflation in recent months, the residual effects of the collapse of Silicon Valley Bank and other financial institutions in March 2023, and related instability in the global financial markets, may cause difficulties for our customers, resulting in reduced spending by them on our business.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operating results may fluctuate significantly from period to period, and this may cause its stock price to decline.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166" w:lineRule="exact"/>
        <w:rPr>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timing and fulfillment of large customer contracts;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renewals of existing customer contracts and wins of new customer programs;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expenditures incurred pursuing new product or market opportunities;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royalty reports;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fluctuating sales by SoundHound’s customers to their end-users;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counterparties failing to meet their contractual commitments to SoundHound;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of new products by SoundHound or its competitors;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or data breaches;</w:t>
      </w:r>
    </w:p>
    <w:p>
      <w:pPr>
        <w:sectPr>
          <w:pgSz w:w="12240" w:h="15840" w:orient="portrait"/>
          <w:cols w:equalWidth="0" w:num="1">
            <w:col w:w="9360"/>
          </w:cols>
          <w:pgMar w:left="1440" w:top="948" w:right="1440" w:bottom="348"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8" w:right="1440" w:bottom="348" w:gutter="0" w:footer="0" w:header="0"/>
          <w:type w:val="continuous"/>
        </w:sectPr>
      </w:pPr>
    </w:p>
    <w:bookmarkStart w:id="20" w:name="page21"/>
    <w:bookmarkEnd w:id="20"/>
    <w:p>
      <w:pPr>
        <w:ind w:left="960" w:right="2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in the prices of SoundHound’s products in response to competition, market conditions or contractual obligations;</w:t>
      </w:r>
    </w:p>
    <w:p>
      <w:pPr>
        <w:spacing w:after="0" w:line="174"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costs to raise cash in the market place, including increased borrowing costs as a result of inflation;</w:t>
      </w:r>
    </w:p>
    <w:p>
      <w:pPr>
        <w:spacing w:after="0" w:line="174"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that are not collectible;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anticipated costs related to fixed-price contracts with SoundHound’s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costs due to regulatory or trade restrictions;</w:t>
      </w:r>
    </w:p>
    <w:p>
      <w:pPr>
        <w:spacing w:after="0" w:line="176" w:lineRule="exact"/>
        <w:rPr>
          <w:rFonts w:ascii="Times New Roman" w:cs="Times New Roman" w:eastAsia="Times New Roman" w:hAnsi="Times New Roman"/>
          <w:sz w:val="20"/>
          <w:szCs w:val="20"/>
          <w:color w:val="auto"/>
        </w:rPr>
      </w:pPr>
    </w:p>
    <w:p>
      <w:pPr>
        <w:jc w:val="both"/>
        <w:ind w:left="960" w:right="2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in litigation matters, whether initiated by SoundHound or brought by third-parties against SoundHound, and settlements or judgments it is required to pay in connection with disputes; and</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trends as they affect the customer bases into which SoundHound and its customers sell and operate.</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 depends on skilled employees and could be impacted by a shortage of critical skills.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25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data privacy incidents or breaches may damage client relations and inhibit SoundHound’s growth.</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163" w:lineRule="exact"/>
        <w:rPr>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resulting from the operational disruption;</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or increased bad debt expense due to the inability to invoice properly or to customer dissatisfaction resulting in collection issues;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due to loss of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remediation costs to recreate or restore systems;</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80"/>
          </w:cols>
          <w:pgMar w:left="1440" w:top="948" w:right="1420" w:bottom="348" w:gutter="0" w:footer="0" w:header="0"/>
          <w:type w:val="continuous"/>
        </w:sectPr>
      </w:pPr>
    </w:p>
    <w:bookmarkStart w:id="21" w:name="page22"/>
    <w:bookmarkEnd w:id="21"/>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investments in new or enhanced systems in order to enhance SoundHound’s information security posture;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incentives offered to customers to restore confidence and maintain business relationships;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damage resulting in the failure to retain or attract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potential litigation or governmental investigations;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any required notices of a data breach;</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potential loss of critical business data;</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enhancing or creating new products due to loss of data or data integrity issues;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consequences of which SoundHound is not currently aware but would discover through the process of remediating any cybersecurity or data privacy incidents or breaches that may occur.</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business is subject to a variety of domestic and international laws, rules, policies and other obligations, including data protection and anticorruption.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to incur substantial costs and may require it to change our business practices. Additionally,</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is a public.</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8" w:right="1440" w:bottom="348" w:gutter="0" w:footer="0" w:header="0"/>
          <w:type w:val="continuous"/>
        </w:sectPr>
      </w:pPr>
    </w:p>
    <w:bookmarkStart w:id="22" w:name="page23"/>
    <w:bookmarkEnd w:id="22"/>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Compliance with data 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63" w:lineRule="exact"/>
        <w:rPr>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SoundHound’s customers to lose confidence in its solutions;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 SoundHound’s reputation;</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expose SoundHound to litigation, regulatory investigations and to resulting liabilities including reimbursement of customer costs, damages penalties or fines imposed by regulatory agencies;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SoundHound to incur significant expenses for remediation.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64" w:lineRule="exact"/>
        <w:rPr>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political and economic conditions, or changes to such conditions, in a specific region or country;</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protection measures, including tariffs and import/export controls, imposed by the United States and/ or by other countries or regional authorities such as China, Canada or the European Union;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local and global economies of the United Kingdom leaving the European Union;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foreign currency exchange rates or the lack of ability to hedge certain foreign currencies;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laws and regulations in many countries and any subsequent changes in such laws and regulations;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turmoil, including terrorism and war;</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changing data privacy regulations and customer requirements to locate data centers in certain jurisdictions;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48" w:right="1440" w:bottom="348" w:gutter="0" w:footer="0" w:header="0"/>
          <w:type w:val="continuous"/>
        </w:sectPr>
      </w:pPr>
    </w:p>
    <w:bookmarkStart w:id="23" w:name="page24"/>
    <w:bookmarkEnd w:id="23"/>
    <w:p>
      <w:pPr>
        <w:jc w:val="both"/>
        <w:ind w:left="960" w:hanging="480"/>
        <w:spacing w:after="0" w:line="246"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tax laws;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operations in multiple locations in many countries;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payment cycles of foreign customers and timing of collections in foreign jurisdictions;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effective protection of intellectual property than in the United States.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business in China is subject to aggressive competition and is sensitive to economic, market and political conditions.</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SoundHound operates in the highly competitive Voice AI market in China and face competition from both international and smaller domestic manufacturers. SoundHound currently generates less than $0.1 million annually in revenue from its operations in China, though SoundHound expects to expand its business in China going forward. SoundHound anticipates that additional competitors, both international and domestic, may seek to enter the Chinese market resulting in increased competition. Increased competition may result in price reductions, reduced margins and SoundHound’s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because SoundHound’s largest customers are currently OEMs. In addition, political tensions between China and the United States may negatively impact SoundHound’s ability to conduct business in China. If SoundHound is unable to grow or maintain its position in the Chinese market, the pace of growth slows or vehicle sales in China decrease, SoundHound’s business, results of operations and financial condition could be materially adversely effected. Government regulations and business considerations may also require SoundHound to conduct business in China through joint ventures with Chinese companies. SoundHound’s participation in joint ventures would limit its control over Chinese operations and may expose SoundHound’s proprietary technologies to misappropriation by joint venture partners. The above risks, if realized, could have a material adverse effect on SoundHound’s results of operations.</w:t>
      </w:r>
    </w:p>
    <w:p>
      <w:pPr>
        <w:spacing w:after="0" w:line="2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If the Chinese government deems that the contractual arrangements in relation to SoundHound’s variable interest entity do not comply with Chinese governmental restrictions on foreign investment, or if these regulations or the interpretation of existing regulations changes in the future, SoundHound could be subject to penalties or be forced to relinquish SoundHound’s interests in those operations.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currently generates less than $0.1 million annually in revenue from its operations in China, though SoundHound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will lose the license that currently permits its operations of its Chinese subsidiary.</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It is uncertain whether any new Chinese laws, rules or regulations relating to variable interest entity structures will be adopted or if adopted, what they would provide. If SoundHound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to discontinue or restrict its operations, restricting its right to collect revenue, blocking one or more of its websites, requiring SoundHound to restructure its operations or taking other regulatory or enforcement actions against SoundHound. The imposition of any of these measures could result in a material adverse effect on SoundHound’s ability to conduct all or any portion of its business operations through its Chinese subsidiary. In addition, it is unclear what impact Chinese government actions would have on SoundHound and on its ability to</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8" w:right="1440" w:bottom="348" w:gutter="0" w:footer="0" w:header="0"/>
          <w:type w:val="continuous"/>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20"/>
          <w:szCs w:val="20"/>
          <w:color w:val="auto"/>
        </w:rPr>
        <w:t>consolidate the financial results of its variable interest entity in its consolidated financial statements, if the Chinese government authorities were to find SoundHound’s legal structure and contractual arrangements to be in violation of Chinese laws, rules and regulations. If the imposition of any of these government actions causes SoundHound to lose its right to direct the activities of its variable interest entity or otherwise separate from it and if SoundHound is not able to restructure its ownership structure and operations in a satisfactory manner, SoundHound would no longer be able to consolidate the financial results of its variable interest entity in its consolidated financial statements. Any of these events could have a material adverse effect on SoundHound’s business, financial condition and results of operations through its Chinese subsidiary.</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Interruptions or delays in SoundHound’s services or services from data center hosting facilities or public clouds could impair the delivery of its services and harm its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years ended December 31, 2023, 2022 and 2021, SoundHound derived approximately 85%, 89% and 81%,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Other risks and uncertainties SoundHound faces from its global operations include, but are not limited to:</w:t>
      </w:r>
    </w:p>
    <w:p>
      <w:pPr>
        <w:spacing w:after="0" w:line="170" w:lineRule="exact"/>
        <w:rPr>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protection for the enforcement of contract and intellectual property rights in certain countries where SoundHound may sell SoundHound’s solutions or work with suppliers or other third parties;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5" w:name="page26"/>
    <w:bookmarkEnd w:id="25"/>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longer sales and payment cycles and potentially greater difficulties in collecting accounts receivable;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difficulties of customizing solutions for foreign countries;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providing solutions across a significant distance, in different languages and among different cultures;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competition;</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subject to a wide variety of complex foreign laws, treaties and regulations and adjusting to any unexpected changes in such laws, treaties and regulations;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and significant regulations, including, but not limited to, the European Union’s GDPR, which imposes compliance obligations on companies who possess and use data of EU residents;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analysis of regulatory, legal and tax issues across various countries, such as different interpretations of antitrust and competition laws;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and resultant political, financial and market instability arising from the United Kingdom’s exit from the European Union;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U.S. laws affecting activities of U.S. companies abroad, including the U.S. Foreign Corrupt Practices Act;</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related to geopolitical risks, including the relationship between the U.S. government and the government of other nations;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tariffs, trade barriers and other regulatory or contractual limitations on SoundHound’s ability to sell or develop its solutions in certain foreign markets;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 countries with a higher incidence of corruption and fraudulent business practices;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including export controls, tariffs and embargoes, other trade restrictions, competition, corporate practices and data privacy concerns;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adverse tax consequences arising from global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reductions in business activity in certain parts of the world, particularly during the summer months in Europe and at year-end globally;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changes in government, economic and political policies and conditions;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civil unrest or instability, terrorism or epidemics or pandemics (including any risks related to or resulting from COVID-19) and other similar outbreaks or events.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48" w:right="1440" w:bottom="348" w:gutter="0" w:footer="0" w:header="0"/>
          <w:type w:val="continuous"/>
        </w:sectPr>
      </w:pPr>
    </w:p>
    <w:bookmarkStart w:id="26" w:name="page27"/>
    <w:bookmarkEnd w:id="26"/>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plans to expand upon and establish new public cloud deployments in the future to facilitate its platform in the U.S. and certain international markets. SoundHound may partner with one or more third-parties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8" w:right="1440" w:bottom="348" w:gutter="0" w:footer="0" w:header="0"/>
          <w:type w:val="continuous"/>
        </w:sectPr>
      </w:pPr>
    </w:p>
    <w:bookmarkStart w:id="27" w:name="page28"/>
    <w:bookmarkEnd w:id="27"/>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spacing w:after="0" w:line="165" w:lineRule="exact"/>
        <w:rPr>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establish and protect SoundHound’s brand in international markets;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localize and adapt SoundHound’s products for specific countries, including translation into foreign languages and associated costs and expenses;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 particularly hiring and training qualified sales and service personnel;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implement and offer customer care in various languages;</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different pricing environments, longer sales and accounts receivable payment cycles and collections issues;</w:t>
      </w:r>
    </w:p>
    <w:p>
      <w:pPr>
        <w:spacing w:after="0" w:line="181"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weaker protection for intellectual property and other legal rights than in the U.S. and practical difficulties in enforcing intellectual property and other rights outside of the U.S.;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privacy and data protection laws and regulations that are complex, expensive to comply with and may require that customer data be stored and processed in a designated territory;</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risk of piracy, counterfeiting and other misappropriation of SoundHound’s intellectual property in its locations outside the U.S.;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in international markets;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68" w:lineRule="auto"/>
        <w:tabs>
          <w:tab w:leader="none" w:pos="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challenges related to the complexity of multiple, conflicting and changing governmental laws and regulations, including employment, tax, telecommunications and telemarketing laws and regulations;</w:t>
      </w:r>
    </w:p>
    <w:p>
      <w:pPr>
        <w:spacing w:after="0" w:line="145"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risk of international telecom fraud;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competitors;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165"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financial accounting and reporting burdens and complexities;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or taxes on the transfer of funds;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unstable economic and political conditions and potential accompanying shifts in laws and regulations.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51" w:right="1440" w:bottom="348" w:gutter="0" w:footer="0" w:header="0"/>
          <w:type w:val="continuous"/>
        </w:sectPr>
      </w:pPr>
    </w:p>
    <w:bookmarkStart w:id="28" w:name="page29"/>
    <w:bookmarkEnd w:id="28"/>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These risks could harm SoundHound’s international operations, increase its operating costs and hinder its ability to grow its international business and, consequently, its overall business and results of operations.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Tax matters may cause significant variability in SoundHound’s operating results and may impact its overall financial condition.</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48" w:lineRule="exact"/>
        <w:rPr>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projected levels of taxable income;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income being lower than anticipated in countries with lower statutory rates or higher than anticipated in countries with higher statutory rates;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or decreases to valuation allowances recorded against deferred tax assets;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audits conducted and settled by various tax authorities;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income taxes upon finalization of income tax returns;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claim foreign tax credits;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repatriation of non-U.S. earnings for which SoundHound has not previously provided for income taxes;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and their interpretations in countries in which SoundHound is subject to taxation.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Growth forecasts described in this Annual Report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Annual Report should not be taken as indicative of its future growth.</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8" w:right="1440" w:bottom="348" w:gutter="0" w:footer="0" w:header="0"/>
          <w:type w:val="continuous"/>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pacing w:after="0" w:line="2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New products, as well as enhancements to its existing products, could fail to attain sufficient market acceptance for many reasons, including:</w:t>
      </w:r>
    </w:p>
    <w:p>
      <w:pPr>
        <w:spacing w:after="0" w:line="168" w:lineRule="exact"/>
        <w:rPr>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releasing new products, or product enhancements;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accurately predict market demand and to supply products that meet this demand in a timely fashion;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defects in its products, errors or failures of its products;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or perceptions about the performance or effectiveness of products;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or anticipated introduction of competing products or technologies by its competitors;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installation, configuration or usage errors by its customers.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5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If SoundHound spends significant time and effort on research and development and is unable to generate an adequate return on its investment, its results of operations may be materially and adversely affected.</w:t>
      </w:r>
    </w:p>
    <w:p>
      <w:pPr>
        <w:spacing w:after="0" w:line="2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5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ectPr>
          <w:pgSz w:w="12240" w:h="15840" w:orient="portrait"/>
          <w:cols w:equalWidth="0" w:num="1">
            <w:col w:w="9360"/>
          </w:cols>
          <w:pgMar w:left="1440" w:top="951" w:right="1440" w:bottom="348"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51" w:right="1440" w:bottom="348" w:gutter="0" w:footer="0" w:header="0"/>
          <w:type w:val="continuous"/>
        </w:sectPr>
      </w:pPr>
    </w:p>
    <w:bookmarkStart w:id="30" w:name="page31"/>
    <w:bookmarkEnd w:id="30"/>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brand, reputation and ability to attract, retain and serve its customers are dependent in part upon the reliable performance of its products and technologies.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 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If SoundHound is unable to maintain and enhance its brand or reputation as an industry leader, its operating results may be adversely affected.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does not successfully maintain and enhance its brand and reputation, its operating results may be adversely affected.</w:t>
      </w:r>
    </w:p>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January 2024, we completed our acquisition of Synq3, Inc. and we are continuing to actively evaluate opportunities to grow and enhance our business and technologies. In the event we engage in an acquisition or strategic transaction, including by making an investment in another company, we may need to acquire additional financing.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166" w:lineRule="exact"/>
        <w:rPr>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unknown financial or product liabilities;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business and diversion of our management’s time and attention in order to develop acquired products or technologies;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expected acquisition and integration costs;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51" w:right="1440" w:bottom="348" w:gutter="0" w:footer="0" w:header="0"/>
          <w:type w:val="continuous"/>
        </w:sectPr>
      </w:pPr>
    </w:p>
    <w:bookmarkStart w:id="31" w:name="page32"/>
    <w:bookmarkEnd w:id="31"/>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write-downs of assets or goodwill or impairment charges;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amortization expenses;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cost in combining the operations and personnel of any acquired businesses with our operations and personnel;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relationships with key suppliers or customers of any acquired businesses due to changes in management and ownership;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employees of any acquired businesses.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If intangible assets and goodwill that we recorded in connection with our acquisitions become impaired, we may have to take significant charges against earnings.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generally accepted accounting principles in the United States, we must assess, at least annually and potentially more frequently, whether the value of indefinite-lived intangible assets and goodwill have been impaired. Intangible assets and goodwill will be assessed for impairment in the event of an impairment indicator. Any reduction or impairment of the value of intangible assets and goodwill will result in a charge against earnings, which could materially adversely affect our results of operations and shareholders’ equity in future periods.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acquisitions expose us to risks that could adversely affect our business, and we may not achieve the anticipated benefits of acquisitions of businesses or technologies.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a part of our growth strategy, we have made and may continue to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spacing w:after="0" w:line="163" w:lineRule="exact"/>
        <w:rPr>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integrating new operations, technologies, products, and personnel;</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maintaining uniform procedures, controls and policies with respect to our financial accounting systems;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synergies or the inability to realize expected synergies and cost-savings;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geographically dispersed operations, including risks associated with entering foreign markets in which we have no or limited prior experience;</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underperformance of any acquired technology, product, or business relative to our expectations and the price we paid;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near-term impacts on financial results after an acquisition, including acquisition-related earnings charges;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loss of key employees, customers, and strategic partners of acquired companies;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by terminated employees and shareholders of acquired companies or other third parties related to the transaction;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or incurrence of additional debt obligations or expenses, or use of substantial portions of our cash;</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securities to finance or as consideration for any acquisitions that dilute the ownership of our stockholders (which in the case of certain of our prior acquisitions were significant);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1" w:right="1440" w:bottom="348" w:gutter="0" w:footer="0" w:header="0"/>
          <w:type w:val="continuous"/>
        </w:sectPr>
      </w:pPr>
    </w:p>
    <w:bookmarkStart w:id="32" w:name="page33"/>
    <w:bookmarkEnd w:id="32"/>
    <w:p>
      <w:pPr>
        <w:jc w:val="both"/>
        <w:ind w:left="960" w:hanging="480"/>
        <w:spacing w:after="0" w:line="246"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and company resources from existing operations of the business;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inconsistencies in standards, controls, procedures, and policies;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impairment of intangible assets as a result of technological advancements, or worse-than-expected performance of acquired companies;</w:t>
      </w:r>
    </w:p>
    <w:p>
      <w:pPr>
        <w:spacing w:after="0" w:line="174" w:lineRule="exact"/>
        <w:rPr>
          <w:rFonts w:ascii="Times New Roman" w:cs="Times New Roman" w:eastAsia="Times New Roman" w:hAnsi="Times New Roman"/>
          <w:sz w:val="20"/>
          <w:szCs w:val="20"/>
          <w:color w:val="auto"/>
        </w:rPr>
      </w:pPr>
    </w:p>
    <w:p>
      <w:pPr>
        <w:ind w:left="960" w:hanging="480"/>
        <w:spacing w:after="0" w:line="268" w:lineRule="auto"/>
        <w:tabs>
          <w:tab w:leader="none" w:pos="9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assumption of, or exposure to, historical liabilities of the acquired business, including unknown contingent or similar liabilities, including product liability, that are difficult to identify or accurately quantify; and</w:t>
      </w:r>
    </w:p>
    <w:p>
      <w:pPr>
        <w:spacing w:after="0" w:line="152"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acquiring intellectual property, including potential disputes regarding acquired companies’ intellectual property.</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the successful integration of acquired businesses requires significant efforts and expense across all operational areas, including sales and marketing, research and development, finance, legal, and information technologies. There can be no assurance that any of the acquisitions we may make will be successful or will be, or will remain, profitable. Our failure to successfully address the foregoing risks may prevent us from achieving the anticipated benefits from any acquisition in a reasonable time frame, or at all.</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integration of our acquisitions may result in significant accounting charges that adversely affect the announced results of our company.</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financial results of our company may be adversely affected by cash expenses and non-cash accounting charges incurred in connection with our acquisitions. In addition to the anticipated cash charges, costs associated with the amortization of intangible assets are expected. The price of our common stock could decline to the extent our financial results are materially affected by the foregoing charges or if the foregoing charges are larger than anticipated.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recent acquisitions may result in unexpected consequences to our business and results of operations.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Although we believe that our recently acquired businesses will generally be subject to risks similar to those to which we are subject to in our existing operations, we may not have discovered all risks applicable to these businesses during the due diligence process. Some of these risks could produce unexpected and unwanted consequences for us. Undiscovered risks may result in us incurring financial liabilities, which could be material and have a negative impact on our business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Failure to realize the benefits expected from our recent acquisitions could adversely affect the value of our common stock.</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success of our recent acquisition will depend, in part, on our ability to:</w:t>
      </w:r>
    </w:p>
    <w:p>
      <w:pPr>
        <w:spacing w:after="0" w:line="170" w:lineRule="exact"/>
        <w:rPr>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Synq3’s customer base and capitalize on our cross-selling opportunities;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 cost savings from reduced back-office and infrastructure expenses, elimination of duplicative company and management structure costs;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our combined businesses efficiently, achieve the strategic operating objectives for our business and realize significant cost savings and synergies;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 the attractive risk-adjusted equity returns from our acquisitions for our stockholders;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 on the embedded and/or underexploited expansion opportunities offered by our acquisitions that we can expand upon.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8" w:right="1440" w:bottom="348" w:gutter="0" w:footer="0" w:header="0"/>
          <w:type w:val="continuous"/>
        </w:sectPr>
      </w:pPr>
    </w:p>
    <w:bookmarkStart w:id="33" w:name="page34"/>
    <w:bookmarkEnd w:id="33"/>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However, to realize the anticipated benefits of our acquisition we must successfully integrate their business in a manner that permits those benefits and cost savings to be realized. Although we expect significant benefits to result from this acquisition, there can be no assurance that we will be able to successfully realize these benefits. The challenges involved in this integration will be complex and time consuming and may require a disproportionate amount of resources and management attention and could result in the loss of valuable employees, the disruption of each company’s ongoing business or inconsistencies in standards, controls, procedures, practices, and policies that could adversely impact our operations. If we do not successfully manage these and related issues and challenges, we may not achieve the anticipated benefits of these acquisitions and our revenue, expenses, operating results, financial condition and stock price could be materially adversely affected.</w:t>
      </w:r>
    </w:p>
    <w:p>
      <w:pPr>
        <w:spacing w:after="0" w:line="25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SoundHound has generated substantial net losses and negative operating cash flows since its inception and may continue to do so for the foreseeable future.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To date, SoundHound has generated substantial net losses and negative cash flows from operating activities. SoundHound may continue to have net losses and negative operating cash flows as SoundHound continues to invest in its development activities, and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SoundHound’s net losses and accumulated deficit could increase significantly and the price of shares of its common stock could decline.</w:t>
      </w:r>
    </w:p>
    <w:p>
      <w:pPr>
        <w:spacing w:after="0" w:line="25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SoundHound may require additional capital to continue its planned business operations but may not be able to obtain such capital when desired on favorable terms, if at all, or without dilution to its stockholders.</w:t>
      </w:r>
    </w:p>
    <w:p>
      <w:pPr>
        <w:spacing w:after="0" w:line="177" w:lineRule="exact"/>
        <w:rPr>
          <w:sz w:val="20"/>
          <w:szCs w:val="20"/>
          <w:color w:val="auto"/>
        </w:rPr>
      </w:pPr>
    </w:p>
    <w:p>
      <w:pPr>
        <w:jc w:val="both"/>
        <w:ind w:right="20" w:firstLine="480"/>
        <w:spacing w:after="0" w:line="265" w:lineRule="auto"/>
        <w:rPr>
          <w:sz w:val="20"/>
          <w:szCs w:val="20"/>
          <w:color w:val="auto"/>
        </w:rPr>
      </w:pPr>
      <w:r>
        <w:rPr>
          <w:rFonts w:ascii="Times New Roman" w:cs="Times New Roman" w:eastAsia="Times New Roman" w:hAnsi="Times New Roman"/>
          <w:sz w:val="19"/>
          <w:szCs w:val="19"/>
          <w:color w:val="auto"/>
        </w:rPr>
        <w:t>SoundHound will require additional capital to continue its planned business operations. SoundHound anticipates that current cash, cash equivalents, cash provided by operating activities and funds available through SoundHound’s at-the-market offering program (ATM program), will not be sufficient to meet its future capital needs. SoundHound will need additional financing to execute on its current or future business strategies, including to:</w:t>
      </w:r>
    </w:p>
    <w:p>
      <w:pPr>
        <w:spacing w:after="0" w:line="155" w:lineRule="exact"/>
        <w:rPr>
          <w:sz w:val="20"/>
          <w:szCs w:val="20"/>
          <w:color w:val="auto"/>
        </w:rPr>
      </w:pPr>
    </w:p>
    <w:p>
      <w:pPr>
        <w:ind w:left="960" w:right="20" w:hanging="480"/>
        <w:spacing w:after="0" w:line="243"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hire additional software engineers, sales and marketing professionals, and other personnel as needed following implementation of the restructuring plan;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new or enhance existing products and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SoundHound’s operating infrastructure;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complementary businesses or technologies;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respond to competitive pressures.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If SoundHound raises additional funds through the issuance of equity, including its ATM Program,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cannot assure you that additional financing will be available on terms favorable to SoundHound, or at all, particularly in light of inflationary pressures and resulting increases in the cost of borrowing.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25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80"/>
          </w:cols>
          <w:pgMar w:left="1440" w:top="948" w:right="1420" w:bottom="348" w:gutter="0" w:footer="0" w:header="0"/>
          <w:type w:val="continuous"/>
        </w:sectPr>
      </w:pPr>
    </w:p>
    <w:bookmarkStart w:id="34" w:name="page35"/>
    <w:bookmarkEnd w:id="34"/>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if any of SoundHound’s key management team members or other employees were to leave, SoundHound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as needed (with consideration to our restructuring plan)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2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Company has identified material weaknesses in its internal control over financial reporting and may identify additional material weaknesses in the future, which may result in material misstatements of the Company’s consolidated financial statements or cause the Company to fail to meet its periodic reporting obligations and the trading price of our stock could be negatively affected.</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Since becoming a public company, our Company has been classified as a non-accelerated filer, emerging growth company and smaller reporting company. On June 30, 2023 (the annual measurement date for SEC filing status), our public float was in excess of $700 million, and accordingly we have become a large accelerated filer for the year ended December 31, 2023 and are now subject to the requirements of 404(b) of Sarbanes-Oxley Act of 2002 (“SOX”) for the year ended December 31, 2023.</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as of December 31, 2023:</w:t>
      </w:r>
    </w:p>
    <w:p>
      <w:pPr>
        <w:spacing w:after="0" w:line="170" w:lineRule="exact"/>
        <w:rPr>
          <w:sz w:val="20"/>
          <w:szCs w:val="20"/>
          <w:color w:val="auto"/>
        </w:rPr>
      </w:pPr>
    </w:p>
    <w:p>
      <w:pPr>
        <w:ind w:left="960" w:hanging="480"/>
        <w:spacing w:after="0" w:line="243"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to verify appropriate accounting for complex financing transactions.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70"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Effective internal control over financial reporting is necessary to provide reliable financial reports and to assist in the effective prevention or detection of material misstatements due to error or fraud. Any inability to provide reliable financial reports or prevent or detect material misstatements due to error or fraud could harm our business. We regularly review and update our internal control over financial reporting, disclosure controls and procedures, and corporate</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8" w:right="1440" w:bottom="348" w:gutter="0" w:footer="0" w:header="0"/>
          <w:type w:val="continuous"/>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18"/>
          <w:szCs w:val="18"/>
          <w:color w:val="auto"/>
        </w:rPr>
        <w:t>governance policies. In addition, we are required under the rules and regulations of the SEC regarding compliance with SOX to report annually on the effectiveness of our internal control over financial reporting. Any system of internal controls, however well designed and operated, is based in part on certain assumptions and can provide only reasonable, not absolute, assurances that the objectives of the system are met.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misstatements.</w:t>
      </w:r>
    </w:p>
    <w:p>
      <w:pPr>
        <w:spacing w:after="0" w:line="14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While we are in the process of addressing our material weaknesses as disclosed herein, elements of our remediation plan can only be accomplished over time and we can offer no assurance that these initiatives will ultimately have the intended effects. Any failure to maintain effective internal control over financial reporting could adversely impact our ability to report our financial results on a timely and accurate basis. If our financial statements are not accurate, investors may not have a complete understanding of our operations or may lose confidence in our reported financial information. Likewise, if our financial statements are not filed on a timely basis as required by the SEC and The NASDAQ Stock Market, we could face severe consequences from those authorities. In either case, it could result in a material adverse effect on our business or have a negative effect on the trading price of our common stock. Further, if we fail to remedy these deficiencies (or any other future deficiencies) or maintain effective internal control over financial reporting, we could be subject to regulatory scrutiny, civil or criminal penalties or shareholder litigation. We can give no assurance that the measures we have taken and plan to take in the future will remediate the material weaknesses identified or that any additional material weaknesses or restatements of our financial statements will not arise in the future due to a failure to implement and maintain adequate internal control over financial reporting or circumvention of those controls.</w:t>
      </w:r>
    </w:p>
    <w:p>
      <w:pPr>
        <w:spacing w:after="0" w:line="15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Further, in the future, 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business operations are subject to interruption by natural disasters, flooding, fire, power shortages, health epidemics, terrorism, political unrest, telecommunications failure, vandalism, cyber-attacks, geopolitical instability, war, the effects of climate change (such as drought, wildfires, hurricanes, and increased storm severity) and other events beyond our control.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Our corporate headquarters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SoundHound’s Intellectual Property and Technology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SoundHound’s use of open source technology could impose limitations on its ability to commercialize its software.</w:t>
      </w:r>
    </w:p>
    <w:p>
      <w:pPr>
        <w:spacing w:after="0" w:line="17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ectPr>
          <w:pgSz w:w="12240" w:h="15840" w:orient="portrait"/>
          <w:cols w:equalWidth="0" w:num="1">
            <w:col w:w="9360"/>
          </w:cols>
          <w:pgMar w:left="1440" w:top="948" w:right="1440" w:bottom="348"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48" w:right="1440" w:bottom="348" w:gutter="0" w:footer="0" w:header="0"/>
          <w:type w:val="continuous"/>
        </w:sectPr>
      </w:pPr>
    </w:p>
    <w:bookmarkStart w:id="36" w:name="page37"/>
    <w:bookmarkEnd w:id="36"/>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 w:cs="Times New Roman" w:eastAsia="Times New Roman" w:hAnsi="Times New Roman"/>
          <w:sz w:val="20"/>
          <w:szCs w:val="20"/>
          <w:b w:val="1"/>
          <w:bCs w:val="1"/>
          <w:i w:val="1"/>
          <w:iCs w:val="1"/>
          <w:color w:val="auto"/>
        </w:rPr>
        <w:t>.</w:t>
      </w:r>
    </w:p>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5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SoundHound has been and in the future may be subject to claims and legal actions alleging that we or its customers may be infringing or contributing to the infringement of the intellectual property rights of others (though no material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2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Unauthorized use of SoundHound’s proprietary technology and intellectual property could adversely affect its business and results of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2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software products may have bugs, which could result in delayed or lost revenue, expensive correction, liability to its customers and claims against us.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8" w:right="1440" w:bottom="348" w:gutter="0" w:footer="0" w:header="0"/>
          <w:type w:val="continuous"/>
        </w:sectPr>
      </w:pPr>
    </w:p>
    <w:bookmarkStart w:id="37" w:name="page38"/>
    <w:bookmarkEnd w:id="37"/>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respond quickly enough to changes in technology and technological risks and to develop its intellectual property into commercially viable products.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SoundHound’s Class A Common Stock and the Securities Market</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stock price and trading volume has fluctuated significantly and may continue to fluctuate significantly in the future.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market price and trading volume of SoundHound’s Class A Common Stock has fluctuated widely and may continue to fluctuate widely, depending on many factors, some of which may be beyond our control, including:</w:t>
      </w:r>
    </w:p>
    <w:p>
      <w:pPr>
        <w:spacing w:after="0" w:line="168" w:lineRule="exact"/>
        <w:rPr>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results of operations due to factors related to our business;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or failure of our business strategies;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and industry capacity;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and other factors that affect earnings and cash flow;</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indebtedness, our ability to make payments on or service our indebtedness and our ability to obtain financing as needed;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recruit qualified personnel, particularly in light of our recent restructuring;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or annual earnings, or those of other companies in our industry;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or dispositions;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or positively cover, our Class A Common Stock;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by securities analysts or our ability to meet those estimates;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stock price performance of other comparable companies;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the Company and the AI industry;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market fluctuations unrelated to our operating performance;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any material litigation or government investigation;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(including tax laws and regulations) affecting our business;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capital gains taxes and taxes on dividends affecting stockholders;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other external factors.</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Low trading volume for SoundHound’s Class A Common Stock, which may occur if an active trading market does not develop, among other reasons, would amplify the effect of the above factors on stock price volatility.</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51" w:right="1440" w:bottom="348" w:gutter="0" w:footer="0" w:header="0"/>
          <w:type w:val="continuous"/>
        </w:sectPr>
      </w:pPr>
    </w:p>
    <w:bookmarkStart w:id="38" w:name="page39"/>
    <w:bookmarkEnd w:id="38"/>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over the last few years, the stock market more broadly has experienced price and volume fluctuations, including due to factors relating to the outbreak of COVID-19, inflationary pressures, and the wars in Ukraine and in Gaza,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these outside effects,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3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3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Should the market price of our shares drop significantly, stockholders may institute securities class action lawsuits against us. A lawsuit against SoundHound could cause SoundHound to incur substantial costs and could divert the time and attention of its management and other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cash dividends for the foreseeable future.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SoundHound’s management has limited experience in operating a public company. The requirements of being a public company may strain SoundHound’s resources and divert management’s attention, and the increases in legal, accounting and compliance expenses may be greater than SoundHound anticipates.</w:t>
      </w:r>
    </w:p>
    <w:p>
      <w:pPr>
        <w:spacing w:after="0" w:line="17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As a public company, and particularly since we are no longer an “emerging growth company” or a “smaller reporting company,” we will continue to incur significant legal, accounting and other expenses that SoundHound did not incur as a private company. SoundHound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expects to incur significant expenses and devote substantial management effort toward ensuring compliance with the requirements of Section 404 of the Sarbanes-Oxley Act. SoundHound has hired and will continue to need to hire additional accounting and financial staff, and engage outside consultants, all with appropriate public company experience and technical accounting knowledge and maintain an internal audit function, which has and will increase its operating expenses. Moreover, SoundHound could incur additional compensation costs in the event that it decides to pay cash compensation closer to that of other publicly listed companies, which would increase its general and administrative expenses and could materially and adversely affect its profitability. SoundHound will evaluate these rules and regulations, and cannot predict or estimate the amount of additional costs SoundHound may incur or the timing of such costs.</w:t>
      </w:r>
    </w:p>
    <w:p>
      <w:pPr>
        <w:sectPr>
          <w:pgSz w:w="12240" w:h="15840" w:orient="portrait"/>
          <w:cols w:equalWidth="0" w:num="1">
            <w:col w:w="9360"/>
          </w:cols>
          <w:pgMar w:left="1440" w:top="948" w:right="1440" w:bottom="348"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48" w:right="1440" w:bottom="348" w:gutter="0" w:footer="0" w:header="0"/>
          <w:type w:val="continuous"/>
        </w:sectPr>
      </w:pPr>
    </w:p>
    <w:bookmarkStart w:id="39" w:name="page40"/>
    <w:bookmarkEnd w:id="39"/>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may not have adequate personnel with the appropriate level of knowledge, experience and training in the accounting policies, practices or internal control over financial reporting required of public companies. SoundHound’s management will need to continually assess its staffing and training procedures to improve its internal control over financial reporting. For example, SoundHound did not timely file its Form 10-Q for the quarter ended March 31, 2021 and had to file an extension for its Form 10-Q for the quarter ended September 30, 2023 and unless the matters discussed in this risk factor and elsewhere in this Annual Report are mitigated, the risk exists that SoundHound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will be required to expand its employee base and hire additional employees to support its operations as a public company which will increase our operating costs in future periods.</w:t>
      </w:r>
    </w:p>
    <w:p>
      <w:pPr>
        <w:spacing w:after="0" w:line="18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 may be subject to securities litigation, which is expensive and could divert management attention.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to significant liabilities.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Applicable to a Dual Class Common Stock Structure</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SoundHound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has a dual class common stock structure and the holders of SoundHound Class B Common Stock have ten votes per share. SoundHound Founders own shares of Class B Common Stock representing approximately 63% of the voting power of the outstanding capital stock of SoundHound.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Second Amended &amp; Restated Certificate of Incorporation of the Company (the “Amended Charter”). This concentrated control may limit</w:t>
      </w:r>
    </w:p>
    <w:p>
      <w:pPr>
        <w:sectPr>
          <w:pgSz w:w="12240" w:h="15840" w:orient="portrait"/>
          <w:cols w:equalWidth="0" w:num="1">
            <w:col w:w="9360"/>
          </w:cols>
          <w:pgMar w:left="1440" w:top="948" w:right="1440" w:bottom="348"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8" w:right="1440" w:bottom="348" w:gutter="0" w:footer="0" w:header="0"/>
          <w:type w:val="continuous"/>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20"/>
          <w:szCs w:val="20"/>
          <w:color w:val="auto"/>
        </w:rPr>
        <w:t>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w:t>
      </w:r>
    </w:p>
    <w:p>
      <w:pPr>
        <w:spacing w:after="0" w:line="9" w:lineRule="exact"/>
        <w:rPr>
          <w:sz w:val="20"/>
          <w:szCs w:val="20"/>
          <w:color w:val="auto"/>
        </w:rPr>
      </w:pPr>
    </w:p>
    <w:p>
      <w:pPr>
        <w:jc w:val="both"/>
        <w:spacing w:after="0" w:line="249" w:lineRule="auto"/>
        <w:tabs>
          <w:tab w:leader="none" w:pos="29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compensation committee that is composed entirely of independent directors and (iii) director nominees be selected or recommended to the board by independent directors. We are currently in compliance with all of these corporate governance requirements. However, SoundHound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ectPr>
          <w:pgSz w:w="12240" w:h="15840" w:orient="portrait"/>
          <w:cols w:equalWidth="0" w:num="1">
            <w:col w:w="9360"/>
          </w:cols>
          <w:pgMar w:left="1440" w:top="948" w:right="1440" w:bottom="348"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48" w:right="1440" w:bottom="348" w:gutter="0" w:footer="0" w:header="0"/>
          <w:type w:val="continuous"/>
        </w:sectPr>
      </w:pPr>
    </w:p>
    <w:bookmarkStart w:id="41" w:name="page42"/>
    <w:bookmarkEnd w:id="41"/>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Delaware law and provisions in our charter documents could make a merger, tender offer, or proxy contest difficult, thereby depressing the trading price of our common stock.</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Amended Charter, Amended &amp; Restated Bylaws of the Company (the “Amended Bylaws”), and Delaware law contain provisions that could depress the trading price of our common stock by acting to discourage, delay, or prevent a change of control of SoundHound or changes in SoundHound that our management or stockholders may deem advantageous. Among other things, the Amended Charter and Amended Bylaws include the following provisions:</w:t>
      </w:r>
    </w:p>
    <w:p>
      <w:pPr>
        <w:spacing w:after="0" w:line="172" w:lineRule="exact"/>
        <w:rPr>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board of directors to establish the number of directors and fill any vacancies and newly created directorships;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preferred stock that our board of directors could use to implement a stockholder rights plan;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eliminates the ability of our stockholders to call special meetings of stockholders, except to the extent otherwise provided in the Amended Bylaws;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except to the extent otherwise provided in the Amended Bylaws, which requires all stockholder actions to be taken at a meeting of our stockholders;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the board of directors is expressly authorized to make, alter, or repeal our Amended Bylaws; and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of directors or for proposing matters that can be acted upon by stockholders at annual stockholder meetings.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SoundHound’s ability to enter into certain business combination transactions within a three (3) year period following the adoption of the Amended Charter.</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U.S. and International Taxation Generally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Changes in tax laws or exposure to additional income tax liabilities could affect SoundHound’s future profitability.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Factors that could materially affect SoundHound’s future effective tax rates include but are not limited to:</w:t>
      </w:r>
    </w:p>
    <w:p>
      <w:pPr>
        <w:spacing w:after="0" w:line="170" w:lineRule="exact"/>
        <w:rPr>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the regulatory environment;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and tax standards or practices;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composition of operating income by tax jurisdiction;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SoundHound’s operating results before taxes.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51" w:right="1440" w:bottom="348" w:gutter="0" w:footer="0" w:header="0"/>
          <w:type w:val="continuous"/>
        </w:sectPr>
      </w:pPr>
    </w:p>
    <w:bookmarkStart w:id="42" w:name="page43"/>
    <w:bookmarkEnd w:id="42"/>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SoundHound’s provision for income taxes because SoundHound has incurred annual losses in the U.S. to date and management set up a full valuation allowance against its U.S. federal and states deferred tax assets.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SoundHound’s ability to use its net operating loss carryforwards and certain other tax attributes may be limited.</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As of December 31, 2023, SoundHound had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6" w:lineRule="exact"/>
        <w:rPr>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effects of stock-based compensation;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48" w:right="1440" w:bottom="348" w:gutter="0" w:footer="0" w:header="0"/>
          <w:type w:val="continuous"/>
        </w:sectPr>
      </w:pPr>
    </w:p>
    <w:bookmarkStart w:id="43" w:name="page44"/>
    <w:bookmarkEnd w:id="43"/>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intercompany restructurings;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than anticipated future earnings in jurisdictions where we have lower statutory tax rates and higher than anticipated future earnings in jurisdictions where we have higher statutory tax rates.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addition, we may be subject to audits of our income, sales and other transaction taxes by taxing authorities.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Outcomes from these audits could have an adverse effect on our financial condition and results of operations.</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acknowledges the increasing importance of cybersecurity in its operations and recognizes the potential risks and threats associated with cyber incidents. The Company is committed to maintaining the confidentiality, integrity, and availability of its information systems and data. However, no system can be completely immune to cyber threats. We face a number of cybersecurity risks in connection with our business. To date, such risks have not materially affected our business, including threats to and breaches of our data systems, malware and computer virus attacks.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following information provides an overview of our approach to managing cybersecurity risks. The Company assesses, identifies and manages cybersecurity related risks. Cybersecurity related risks are evaluated to assess top risks to the enterprise on a bi-annual basis. SoundHound has implemented a comprehensive cybersecurity program designed to identify, assess, and manage cyber risks.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This program includes, but is not limited to:</w:t>
      </w:r>
    </w:p>
    <w:p>
      <w:pPr>
        <w:spacing w:after="0" w:line="170" w:lineRule="exact"/>
        <w:rPr>
          <w:sz w:val="20"/>
          <w:szCs w:val="20"/>
          <w:color w:val="auto"/>
        </w:rPr>
      </w:pPr>
    </w:p>
    <w:p>
      <w:pPr>
        <w:ind w:left="960" w:hanging="48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risk assessments and vulnerability assessments.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of industry-accepted cybersecurity controls and best practices.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training and awareness programs to enhance the company’s overall cybersecurity posture.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Continuous monitoring and incident response plans to detect and mitigate potential threats promptly.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a set of Company-wide policies and procedures concerning cybersecurity matters, such as policies related to encryption standards, antivirus protection, remote access, multi factor authentication, confidential information and the use of the internet, social media, email and wireless devices. These policies go through an annual internal review process and are approved by appropriate members of management.</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and by reviewing our operational policies and procedures. We review our operational policies and procedures with third party experts on an annual basis as part of our annual audit process. We also maintain cyber insurance coverage.</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to assessing our own cybersecurity preparedness, we also consider and evaluate cybersecurity risks associated with use of third-party service providers. Our Vendor Management Team conducts an annual review of third-party hosted applications with a specific focus on any sensitive data shared with third parties. The internal business owners of the hosted applications are required to document user access reviews at least annually and provide from the vendor a System and Organization Controls (SOC) 1 or SOC 2 report. If a third-party vendor is not able to provide a SOC 1 or SOC 2 report, we take additional steps to assess their cybersecurity preparedness and assess our relationship on that basis. Our assessment of risks associated with use of third-party providers is part of our overall cybersecurity risk management framework.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1" w:right="1440" w:bottom="348" w:gutter="0" w:footer="0" w:header="0"/>
          <w:type w:val="continuous"/>
        </w:sectPr>
      </w:pPr>
    </w:p>
    <w:bookmarkStart w:id="44" w:name="page45"/>
    <w:bookmarkEnd w:id="44"/>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 will report any cybersecurity incidents determined to be material. Material aspects of the nature, scope and timing of the incident, and the impact or reasonably likely impact of the incident on the Company, including on SoundHound’s financial condition and results of operations will be disclosed.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audit committee oversees risks from cybersecurity threats as part of its broader risk oversight responsibilities.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recognizes the importance of cybersecurity in safeguarding the company’s assets and operations.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has a dedicated Information Security Management committee responsible for overseeing risks from cybersecurity threats. The committee’s charter outlines its specific responsibilities related to cybersecurity risk oversight, and assists senior management in fulfilling its oversight responsibilities by creating, implementing, overseeing and maintaining SoundHound’s Information Security Management System. The purpose of the ISMS is to protect the Company’s information systems and assets, taking into account the potential for external threats, internal threats, and threats arising from transactions with trusted third parties and vendors. The board of directors is informed of cybersecurity risks, at least annually, through established processes, including periodic briefings, reports, and updates on the evolving landscape of cybersecurity threats.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designates the Information Security Management Committee as responsible for assessing and managing cybersecurity risks. Committee members possess professional experience or backgrounds presenting relevant experience or capacity to address those matters within the scope of the Committee’s responsibility, including senior executives, department leaders, and subject matter experts. Committee members are familiar, or have the ability to quickly gain familiarity, with major technology platforms employed by the Company; have knowledge of technological ecosystems and challenges confronted in current or emerging business environments; have the capacity to understand new or emerging technologies and cyber security threats; are familiar, or have the ability to quickly gain familiarity, with information security principles, privacy regulations, standards, and guidelines; and possess experience relating to enterprise risk management and process.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view cybersecurity as a shared responsibility. All employees are required to complete cybersecurity training as part of onboarding, on an annual basis and have access to more frequent cybersecurity training online. We also require employees in certain roles to complete additional role-based, specialized cybersecurity training. The designated persons or committees actively monitor cybersecurity incidents through processes that monitor the prevention, detection, mitigation and remediation of cybersecurity incidents, including continuous assessment and adaptation to emerging threats.</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corporate headquarters is located in Santa Clara, California, within a consolidated building covering 61,360 square feet. Our lease began in 2017 and is set to expire in 2025. In addition to our headquarters, we lease offices in Toronto, Paris and various other locations in the U.S. and internationally.</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material set forth in the section titled “Legal Proceedings” in Note 7 of our Notes to Consolidated Financial Statements is incorporated herein by reference.</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48" w:right="1440" w:bottom="348"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Class A common stock is listed on the Nasdaq Global Market under the symbol “SOUN.” Our Class B common stock is neither listed nor traded. Our listed redeemable warrants are listed on the Nasdaq Global Market under the symbol “SOUNW.”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According to the records of our transfer agent, there were 77 holders of record of our Class A common stock, 3 holders of record of our Class B common stock and holders of record of our listed redeemable warrants on December 31,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do not anticipate paying any cash dividends in the foreseeable future.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information as of December 31, 2023 relating to all our equity 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Securities to be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Issued Upon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5"/>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Exercise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5"/>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Restricted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4"/>
              </w:rPr>
              <w:t>Stock Awards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of Outstanding</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0"/>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5"/>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4"/>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approved by</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3"/>
        </w:trPr>
        <w:tc>
          <w:tcPr>
            <w:tcW w:w="34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security holders . . . . . . . . . . . . . . . . . . . .</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16,841</w:t>
            </w:r>
          </w:p>
        </w:tc>
        <w:tc>
          <w:tcPr>
            <w:tcW w:w="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3.59</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16,344</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2,362</w:t>
            </w: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not approved</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34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by security holders . . . . . . . . . . . . . . . . .</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16,841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16,344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2,362</w:t>
            </w: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accordance with Exchange Act Rule 14a-3(b), the disclosure for this item will be included in our annual report to be provided to the Company’s stockholders in connection with the Annual Meeting of Shareholders to be held in 2024, which annual report shall be filed with the Securities and Exchange Commission within 120 days after the end of the fiscal year.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None that have not already been disclosed in a prior Quarterly Report on Form 10-Q or Current Report on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1" w:right="1440" w:bottom="348" w:gutter="0" w:footer="0" w:header="0"/>
          <w:type w:val="continuous"/>
        </w:sectPr>
      </w:pPr>
    </w:p>
    <w:bookmarkStart w:id="46" w:name="page47"/>
    <w:bookmarkEnd w:id="46"/>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7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the financial condition and results of operations of SoundHound should be read together with our consolidated financial statements and notes thereto. The fiscal years presented are the periods ended December 31, 2023 (“2023”) and December 31, 2022 (“2022”). Information concerning the fiscal year ended December 31, 2021 (“2021”) and a comparison of 2022 and 2021 may be found under “Item 7. Management’s Discussion and Analysis of Financial Condition and Results of Operations” in the Company’s Annual Report on Form 10-K for 2022, filed with the SEC on March 28, 2023.</w:t>
      </w:r>
    </w:p>
    <w:p>
      <w:pPr>
        <w:spacing w:after="0" w:line="174"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71"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The Company has revised the previously issued condensed consolidated statements of operations and comprehensive loss, condensed consolidated balance sheets, condensed consolidated statements of cash flows and condensed consolidated statements of redeemable convertible preferred stock and stockholders’ deficit tables as of and for the three and six months ended June 30, 2023 and as of and for the three months ended March 31, 2023 as well as the previously issued consolidated statements of operations and comprehensive loss, consolidated balance sheets, consolidated statements of cash flows and consolidated statements of redeemable convertible preferred stock and stockholders’ deficit tables and as of and for the year ended December 31, 2022 to correct for such errors as described in Note 20 of our notes to the consolidated financial statements. All relevant prior period amounts affected by these revisions have been corrected in Management’s Discussion and Analysis of Financial Condition and Results of Operation in this Form 10-K.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80"/>
          </w:cols>
          <w:pgMar w:left="1440" w:top="941" w:right="1420" w:bottom="348" w:gutter="0" w:footer="0" w:header="0"/>
          <w:type w:val="continuous"/>
        </w:sectPr>
      </w:pPr>
    </w:p>
    <w:bookmarkStart w:id="47" w:name="page48"/>
    <w:bookmarkEnd w:id="47"/>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ectPr>
          <w:pgSz w:w="12240" w:h="15840" w:orient="portrait"/>
          <w:cols w:equalWidth="0" w:num="1">
            <w:col w:w="9360"/>
          </w:cols>
          <w:pgMar w:left="1440" w:top="948" w:right="1440" w:bottom="348"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8" w:right="1440" w:bottom="348" w:gutter="0" w:footer="0" w:header="0"/>
          <w:type w:val="continuous"/>
        </w:sectPr>
      </w:pPr>
    </w:p>
    <w:bookmarkStart w:id="48" w:name="page49"/>
    <w:bookmarkEnd w:id="48"/>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58"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5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69"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6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in 2023, the majority of the contribution is currently from our first pillar of royalties with only a small contribution from pillar three from our music identification app. Over time, the subscription and monetization portions are expected to grow and make a bigger contribution to our overall 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Synq3 Acquisition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December 2023, we entered an Agreement and Plan of Merger (the “Acquisition”) with a closing date of January 3, 2024 with Synq3, Inc. (“Synq3”), a leading provider of voice AI and other technology solutions to the restaurant industry, to acquire its issued and outstanding equity. The Company has incurred and will incur certain significant costs relating to the Acquisition, such as legal, accounting, financial advisory, printing and other professional services fees, as well as other customary payments. SoundHound’s acquisition of Synq3 is expected to expand its AI customer service solutions and create the largest Voice AI provider for restaurants. The combination will significantly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48" w:right="1440" w:bottom="348" w:gutter="0" w:footer="0" w:header="0"/>
          <w:type w:val="continuous"/>
        </w:sectPr>
      </w:pPr>
    </w:p>
    <w:bookmarkStart w:id="49" w:name="page50"/>
    <w:bookmarkEnd w:id="49"/>
    <w:p>
      <w:pPr>
        <w:jc w:val="both"/>
        <w:spacing w:after="0" w:line="248" w:lineRule="auto"/>
        <w:rPr>
          <w:sz w:val="20"/>
          <w:szCs w:val="20"/>
          <w:color w:val="auto"/>
        </w:rPr>
      </w:pPr>
      <w:r>
        <w:rPr>
          <w:rFonts w:ascii="Times New Roman" w:cs="Times New Roman" w:eastAsia="Times New Roman" w:hAnsi="Times New Roman"/>
          <w:sz w:val="20"/>
          <w:szCs w:val="20"/>
          <w:color w:val="auto"/>
        </w:rPr>
        <w:t>extend its market reach to over 10,000 signed locations and accelerate the deployment of leading-edge generative AI capabilities to the industry — strengthening SoundHound’s leadership as the Company moves to rapidly roll out its proprietary AI solutions to restaurants across the U.S. and beyond. Together, with a total of more than 25 national and multinational chains, the highly complementary businesses will match nearly two decades of SoundHound AI innovation with decades of Synq3 industry expertise and established relationships.</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Refer to the “Liquidity and Capital Resources” section for discussion on the purchase price and the Acquisition’s impact on SoundHound’s liquidity and refer to “Item 1A. Risk Factors” in this Form 10-K for a discussion regarding the risks associated with the Acquisition.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Agreement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July 28, 2023, we entered into a Controlled Equity Offering Sales Agreement (the “Sales Agreement”) pursuant to which we may offer and sell up to $150.0 million of shares of our Class A common stock to raise capital. Refer to the “Liquidity and Capital Resources” section for further detail on the Sales Agreement. Between January and February 2024, we raised additional funds from sales of Class A common stock under this agreement, selling 34,578,019 shares of our common stock at a weighted-average price of $3.37 per share and raising $116.4 million of gross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Known Trends, Demands, Commitments, Events or Uncertainties Impacting Our Business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 believes that its performance and future success depend on many factors that present significant opportunities for us but also pose risks and challenges, including the following:</w:t>
      </w:r>
    </w:p>
    <w:p>
      <w:pPr>
        <w:spacing w:after="0" w:line="174" w:lineRule="exact"/>
        <w:rPr>
          <w:sz w:val="20"/>
          <w:szCs w:val="20"/>
          <w:color w:val="auto"/>
        </w:rPr>
      </w:pPr>
    </w:p>
    <w:p>
      <w:pPr>
        <w:jc w:val="both"/>
        <w:ind w:left="960" w:hanging="480"/>
        <w:spacing w:after="0" w:line="249"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Investments in Technology. </w:t>
      </w:r>
      <w:r>
        <w:rPr>
          <w:rFonts w:ascii="Times New Roman" w:cs="Times New Roman" w:eastAsia="Times New Roman" w:hAnsi="Times New Roman"/>
          <w:sz w:val="20"/>
          <w:szCs w:val="20"/>
          <w:color w:val="auto"/>
        </w:rPr>
        <w:t>Our business model since inception has been to invest in our technology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form of dedicated research and development. We will continue to invest in the development of our software platform to deliver consumers with continually improving value and delight. Our investments include continuous enhancements to our technology we’ve developed over the last two decades, investments in data to help refine and improve our underlying algorithms and other costs to attract and retain a world-class technical workforce.</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Revenue Growth. </w:t>
      </w:r>
      <w:r>
        <w:rPr>
          <w:rFonts w:ascii="Times New Roman" w:cs="Times New Roman" w:eastAsia="Times New Roman" w:hAnsi="Times New Roman"/>
          <w:sz w:val="20"/>
          <w:szCs w:val="20"/>
          <w:color w:val="auto"/>
        </w:rPr>
        <w:t>Our commercial success, including acceptance and use of our applications, will depend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Cost of Revenues. </w:t>
      </w:r>
      <w:r>
        <w:rPr>
          <w:rFonts w:ascii="Times New Roman" w:cs="Times New Roman" w:eastAsia="Times New Roman" w:hAnsi="Times New Roman"/>
          <w:sz w:val="20"/>
          <w:szCs w:val="20"/>
          <w:color w:val="auto"/>
        </w:rPr>
        <w:t>The results of our business will depend in part on our ability to establish and increase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Seasonality. </w:t>
      </w:r>
      <w:r>
        <w:rPr>
          <w:rFonts w:ascii="Times New Roman" w:cs="Times New Roman" w:eastAsia="Times New Roman" w:hAnsi="Times New Roman"/>
          <w:sz w:val="20"/>
          <w:szCs w:val="20"/>
          <w:color w:val="auto"/>
        </w:rPr>
        <w:t>Our ability to accurately forecast demand for our technology could be negatively affected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many factors, including seasonal demand. 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ectPr>
          <w:pgSz w:w="12240" w:h="15840" w:orient="portrait"/>
          <w:cols w:equalWidth="0" w:num="1">
            <w:col w:w="9360"/>
          </w:cols>
          <w:pgMar w:left="1440" w:top="948" w:right="1440" w:bottom="348"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50" w:name="page51"/>
    <w:bookmarkEnd w:id="50"/>
    <w:p>
      <w:pPr>
        <w:jc w:val="both"/>
        <w:ind w:left="960" w:hanging="480"/>
        <w:spacing w:after="0" w:line="266" w:lineRule="auto"/>
        <w:tabs>
          <w:tab w:leader="none" w:pos="9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Development of International Markets. </w:t>
      </w:r>
      <w:r>
        <w:rPr>
          <w:rFonts w:ascii="Times New Roman" w:cs="Times New Roman" w:eastAsia="Times New Roman" w:hAnsi="Times New Roman"/>
          <w:sz w:val="19"/>
          <w:szCs w:val="19"/>
          <w:color w:val="auto"/>
        </w:rPr>
        <w:t>We have rapidly expanded our capabilities and global reach.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example, we have globalized our solution to include 25 languages. We view opportunities for conversational Voice AI to be global in reach, and we expect our growth to be fueled across multiple geographies.</w:t>
      </w:r>
    </w:p>
    <w:p>
      <w:pPr>
        <w:spacing w:after="0" w:line="133" w:lineRule="exact"/>
        <w:rPr>
          <w:rFonts w:ascii="Times New Roman" w:cs="Times New Roman" w:eastAsia="Times New Roman" w:hAnsi="Times New Roman"/>
          <w:sz w:val="19"/>
          <w:szCs w:val="19"/>
          <w:color w:val="auto"/>
        </w:rPr>
      </w:pPr>
    </w:p>
    <w:p>
      <w:pPr>
        <w:jc w:val="both"/>
        <w:ind w:left="960" w:hanging="480"/>
        <w:spacing w:after="0" w:line="249"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Industry Risks. </w:t>
      </w:r>
      <w:r>
        <w:rPr>
          <w:rFonts w:ascii="Times New Roman" w:cs="Times New Roman" w:eastAsia="Times New Roman" w:hAnsi="Times New Roman"/>
          <w:sz w:val="20"/>
          <w:szCs w:val="20"/>
          <w:color w:val="auto"/>
        </w:rPr>
        <w:t>The military conflict between Russia and Ukraine and the Israel-Hamas war have had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adverse impact on the global economy and financial markets. Although our business has not been materially impacted by the Russia-Ukraine conflict or the Israel-Hamas war, it is impossible to predict the extent to which our operations, or those of our customers’ suppliers and manufacturers, will be impacted in the short and long term, or the ways in which the conflicts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3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5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and may continue to experience volatility for our remaining performance obligations and deferred revenue as a result of the timing for completing our performance obligations. We had remaining performance obligations in the amount of $12.7 million as of December 31, 2023. Given the applicable contract terms, $6.4 million is expected to be recognized as revenue within one year, $3.3 million is expected to be recognized between 2 to 5 years and the remainder of $3.0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5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included within this Annual Report on Form 10-K for more information.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8" w:right="1440" w:bottom="348"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classify our operating expenses into the following five categories, which are cost of revenues, sales and marketing, research and development, general and administrative and restructuring. Excluding cost of revenues,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we expect it will stabilize as we continue to scale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Revenues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research and development expenses are our largest operating expense as we continue to develop our software platforms and produce new technological capabilities.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prior to the establishment of their technological feasibility in the periods in which they are incurred.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General and administrative expenses consist of personnel-related costs, accounting and legal expenses, third-party consulting costs, insurance and allocated overhead including rent, depreciation and utilities.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Restructuring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Restructuring expenses consist of employee severance payments, employee benefits and share-based compensation related to reduced headcount from the Company’s restructuring plan (“Restructuring Plan”) announced in January 2023. Refer to the “Liquidity and Capital Resources” section and Note 10 to our consolidated financial statements included within this Annual Report on Form 10-K for more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Interest expense consists of stated interest incurred on our outstanding convertible notes and term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Overall, the discounts from debt issuance costs result in an increased amount of interest expense over the amortization period.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41" w:right="1440" w:bottom="348"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Other income (expense), net consists of the change in fair value related to our derivative liability, interest income and other income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Income tax expense includes federal, state and foreign taxes and is based on reported income before income taxes. We are in a cumulative loss position for tax purposes based on historical earnings. As of December 31, 2023, the Company had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had federal and state research and development credit carryforwards of $14.4 million and $10.9 million, respectively, as of December 31, 2023. The federal credits will expire starting in 2029 if not utilized. The state credits can be carried forward indefinitely. The Company also had Canadian SR&amp;ED tax credits of $1.7 million, which expire starting in 2038 if not utilized.</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the significant components of our results of operations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8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8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Revenues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12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Operating expenses: . . . . . . . . . . . . . . . . . .</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Cost of revenues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Sales and marketing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(1,474)</w:t>
            </w:r>
          </w:p>
        </w:tc>
        <w:tc>
          <w:tcPr>
            <w:tcW w:w="34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Research and development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51,439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76,392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(24,953)</w:t>
            </w:r>
          </w:p>
        </w:tc>
        <w:tc>
          <w:tcPr>
            <w:tcW w:w="34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0"/>
        </w:trPr>
        <w:tc>
          <w:tcPr>
            <w:tcW w:w="3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General and administrative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30,443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(2,158)</w:t>
            </w:r>
          </w:p>
        </w:tc>
        <w:tc>
          <w:tcPr>
            <w:tcW w:w="34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Restructuring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4,557</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operating expenses . . . . . . . . . .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114,481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136,801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(22,320)</w:t>
            </w: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Loss from operations . . . . . . . . . . . . . . . . . .</w:t>
            </w: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(68,608)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(105,672)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37,064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0"/>
        </w:trPr>
        <w:tc>
          <w:tcPr>
            <w:tcW w:w="3660" w:type="dxa"/>
            <w:vAlign w:val="bottom"/>
          </w:tcPr>
          <w:p>
            <w:pPr>
              <w:jc w:val="right"/>
              <w:ind w:right="2020"/>
              <w:spacing w:after="0"/>
              <w:rPr>
                <w:sz w:val="20"/>
                <w:szCs w:val="20"/>
                <w:color w:val="auto"/>
              </w:rPr>
            </w:pPr>
            <w:r>
              <w:rPr>
                <w:rFonts w:ascii="Times New Roman" w:cs="Times New Roman" w:eastAsia="Times New Roman" w:hAnsi="Times New Roman"/>
                <w:sz w:val="20"/>
                <w:szCs w:val="20"/>
                <w:color w:val="auto"/>
                <w:w w:val="98"/>
              </w:rPr>
              <w:t>Other expense, net: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expense . . . . . . . . . . . . . . . . . . . .</w:t>
            </w: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(17,570)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(6,893)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(10,677)</w:t>
            </w:r>
          </w:p>
        </w:tc>
        <w:tc>
          <w:tcPr>
            <w:tcW w:w="34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income (expense), net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0" w:type="dxa"/>
            <w:vAlign w:val="bottom"/>
          </w:tcPr>
          <w:p>
            <w:pPr>
              <w:spacing w:after="0"/>
              <w:rPr>
                <w:sz w:val="1"/>
                <w:szCs w:val="1"/>
                <w:color w:val="auto"/>
              </w:rPr>
            </w:pPr>
          </w:p>
        </w:tc>
      </w:tr>
      <w:tr>
        <w:trPr>
          <w:trHeight w:val="20"/>
        </w:trPr>
        <w:tc>
          <w:tcPr>
            <w:tcW w:w="36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Total other expense, net . . . . . . . . . . .</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(8,152)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(8,263)</w:t>
            </w:r>
          </w:p>
        </w:tc>
        <w:tc>
          <w:tcPr>
            <w:tcW w:w="3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Loss before provision for income taxes . . .</w:t>
            </w: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(85,023)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(113,824)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28,801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Provision for income taxes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Net loss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(88,937)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(116,713)</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27,776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gross profit and gross margin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Revenues . . . . . . . . . . . . . . . . . . . . . . . . . . . . . . . . . . . . . . . . .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2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2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Cost of revenues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w:t>
            </w:r>
          </w:p>
        </w:tc>
        <w:tc>
          <w:tcPr>
            <w:tcW w:w="22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Gross profit . . . . . . . . . . . . . . . . . . . . . . . . . . . . . . . . . . . . . . . .</w:t>
            </w:r>
          </w:p>
        </w:tc>
        <w:tc>
          <w:tcPr>
            <w:tcW w:w="8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34,566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21,530</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0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Gross margin . . . . . . . . . . . . . . . . . . . . . . . . . . . . . . . . . . . .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rPr>
              <w:t>69%</w:t>
            </w:r>
          </w:p>
        </w:tc>
        <w:tc>
          <w:tcPr>
            <w:tcW w:w="132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0"/>
                <w:szCs w:val="20"/>
                <w:color w:val="auto"/>
              </w:rPr>
              <w:t>6%</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41" w:right="1440" w:bottom="348"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tables summarize our revenues by type and geographic regions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Product Royalties . . . . . . . . . . . . . . . . . . .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28,447</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1"/>
                <w:szCs w:val="21"/>
                <w:color w:val="auto"/>
              </w:rPr>
            </w:pPr>
          </w:p>
        </w:tc>
      </w:tr>
      <w:tr>
        <w:trPr>
          <w:trHeight w:val="26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Service Subscriptions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2"/>
                <w:szCs w:val="22"/>
                <w:color w:val="auto"/>
              </w:rPr>
            </w:pPr>
          </w:p>
        </w:tc>
      </w:tr>
      <w:tr>
        <w:trPr>
          <w:trHeight w:val="261"/>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Monetization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(210)</w:t>
            </w:r>
          </w:p>
        </w:tc>
        <w:tc>
          <w:tcPr>
            <w:tcW w:w="340" w:type="dxa"/>
            <w:vAlign w:val="bottom"/>
          </w:tcPr>
          <w:p>
            <w:pPr>
              <w:spacing w:after="0"/>
              <w:rPr>
                <w:sz w:val="22"/>
                <w:szCs w:val="2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4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14,744</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Korea . . . . . . . . . . . . . . . . . . . . . . . . . . . . .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14,530</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1"/>
                <w:szCs w:val="21"/>
                <w:color w:val="auto"/>
              </w:rPr>
            </w:pPr>
          </w:p>
        </w:tc>
      </w:tr>
      <w:tr>
        <w:trPr>
          <w:trHeight w:val="26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3,344</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3,425</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r>
      <w:tr>
        <w:trPr>
          <w:trHeight w:val="26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Germany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4,134</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2"/>
                <w:szCs w:val="22"/>
                <w:color w:val="auto"/>
              </w:rPr>
            </w:pPr>
          </w:p>
        </w:tc>
      </w:tr>
      <w:tr>
        <w:trPr>
          <w:trHeight w:val="26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France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2"/>
                <w:szCs w:val="22"/>
                <w:color w:val="auto"/>
              </w:rPr>
            </w:pPr>
          </w:p>
        </w:tc>
      </w:tr>
      <w:tr>
        <w:trPr>
          <w:trHeight w:val="26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Japan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(159)</w:t>
            </w:r>
          </w:p>
        </w:tc>
        <w:tc>
          <w:tcPr>
            <w:tcW w:w="340" w:type="dxa"/>
            <w:vAlign w:val="bottom"/>
          </w:tcPr>
          <w:p>
            <w:pPr>
              <w:spacing w:after="0"/>
              <w:rPr>
                <w:sz w:val="22"/>
                <w:szCs w:val="2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1"/>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18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Total revenues increased by $14.7 million, or 47%, in 2023 compared to 2022 which is principally due to an increase in Product Royalties revenue by $14.9 million, or 52%, during 2023 compared to 2022. The increase in Product Royalties during the year ended December 31, 2023 compared to during the year ended December 31, 2022 was the result of several factors. First, we recognized an increase of $2.8 million in edge solution (“Houndify Edge”) minimum guarantee licensing revenue with a Korean automotive customer which is recognized upfront by the Company for units to be utilized over the life of the contract. Second, we recognized an increase in unit-based Product Royalties of $5.4 million with various customers in Korea. Third, we recognized $3.6 million in licensing revenues related to a non-recurring voice data licensing agreement with a semiconductor customer from the United States during the fourth quarter of 2023. The fourth increase in Product Royalties was principally due to a contract modification with a German automotive customer that resulted in additional professional services and reduced our estimated customer life, which led to a $1.9 million increase compared to the year ended December 31, 2022. Additionally, we recognized an increase of $1.0 million in unit-based Product Royalties for the same customer during the year ended December 31, 2023 compared to the year ended December 31, 2022.</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Service Subscriptions revenue increased by $0.1 million, or 6%. During the year ended December 31, 2022, the Company performed non-recurring engineering projects of $0.3 million related to a proof-of-concept project on the viability of the Company’s voice-enabled solutions for the restaurant industry. We shifted our strategy towards the end of 2023 to directly grow our subscription-based offerings. During the year ended December 31, 2023, the Company increased its Service Subscriptions revenue with restaurants by $0.4 million which was a result of the growing demand for the Company’s voice-enabled solutions and greater efficiency in shortening the lead time for our voice-solution to go live.</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Monetization revenue decreased by $0.2 million, or 25% primarily due to the temporary shift of our marketing efforts towards other revenue streams.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revenues increased by $1.7 million, or 18%, in 2023 compared to 2022. $2.3 million of the increase is related to increasing our sales of Houndify Edge solutions where certain premium versions carry fixed per unit costs. Additionally, personnel-related costs such as salaries and benefits increased by $0.3 million. The increase in cost of revenues was offset by cloud migration costs as we migrated our data hosting to a new cloud service provider, resulting in a decrease of $0.9 million in data center costs during the year ended December 31, 2023.</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Gross margin increased to 75% during 2023 from 69% during 2022. Gross margin in 2023 benefited from a favorable product mix, as a number of our significant Product Royalties contracts for 2023 compared to 2022 provided higher margin products to customers as well. This was primarily driven by the contract modification with a German automotive customer that resulted in a reduction in our estimate of customer life during the year ended</w:t>
      </w:r>
    </w:p>
    <w:p>
      <w:pPr>
        <w:sectPr>
          <w:pgSz w:w="12240" w:h="15840" w:orient="portrait"/>
          <w:cols w:equalWidth="0" w:num="1">
            <w:col w:w="9360"/>
          </w:cols>
          <w:pgMar w:left="1440" w:top="941" w:right="1440" w:bottom="348"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1" w:right="1440" w:bottom="348" w:gutter="0" w:footer="0" w:header="0"/>
          <w:type w:val="continuous"/>
        </w:sectPr>
      </w:pPr>
    </w:p>
    <w:bookmarkStart w:id="54" w:name="page55"/>
    <w:bookmarkEnd w:id="54"/>
    <w:p>
      <w:pPr>
        <w:jc w:val="both"/>
        <w:spacing w:after="0" w:line="249" w:lineRule="auto"/>
        <w:rPr>
          <w:sz w:val="20"/>
          <w:szCs w:val="20"/>
          <w:color w:val="auto"/>
        </w:rPr>
      </w:pPr>
      <w:r>
        <w:rPr>
          <w:rFonts w:ascii="Times New Roman" w:cs="Times New Roman" w:eastAsia="Times New Roman" w:hAnsi="Times New Roman"/>
          <w:sz w:val="20"/>
          <w:szCs w:val="20"/>
          <w:color w:val="auto"/>
        </w:rPr>
        <w:t>December 31, 2023, the voice data licensing agreement with a United States-based semiconductor customer, and a significant increase in royalties revenue related to a Korean automotive customer, all of which contributed positively to our margins due to insignificant direct costs. In addition, we experienced decreased data center costs, as described above, in 2023 compared to 2022 due to our cloud migration. Lastly, gross margin benefited from the overall scaling of our business. Gross margin in 2022 benefited from increased margins on the Houndify Edge solution delivered to a customer during the second half of 2022. Our gross margin may fluctuate in the near-term due to revenue contributions from varying product mixes.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Sales and marketing expenses decreased by $1.5 million, or 7%, from $18.9 million in 2023 compared to $20.4 million in 2022. In 2022, we began growing these expenses to capture new market opportunities, particularly in the restaurant industry. We recalibrated our expenses in early 2023 and focused our demand generation, lead generation and customer conversion efforts with greater emphasis on high returns on investment. Part of this recalibration led to reductions in sales and marketing headcount as part of the Restructuring Plan. Employee compensation and other benefits expense, consisting primarily of salaries and stock-based compensation expense, were reduced by $1.1 million. We also reduced our external sales and marketing activities, leading to decreases of $0.6 million in consulting fees, $0.2 million in legal fees, $0.1 million in dues and subscriptions and $0.1 million in advertising costs. The decrease was partially offset by increased information technology and facility allocations of $0.7 million due to higher proportion of sales and marketing personnel as a percentage of total headcount.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decreased by $25.0 million, or 33%, in 2023 compared to 2022. The decrease is primarily due to a reduction in employee headcount and other cost reduction measures applied as part of the Restructuring Plan. Employee compensation and other benefits expense, consisting primarily of salaries and stock-based compensation expense, reduced by $20.3 million. We also reduced spending on consulting fees by $4.0 million in 2023. Further, we reduced our spending on information technology and facility allocations, depreciation and amortization expense and travel costs by $0.9 million, $0.7 million and $0.2 million, respectively. The decrease was partially offset by increased legal fees and rent and lease expense of $0.4 million and $0.6 million,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decreased by $2.2 million, or 7%, in 2023 compared to 2022. Employee compensation and other benefits expense, consisting primarily of salaries and stock-based compensation expense, were reduced by $4.6 million. The decrease is primarily due a reduction in employee headcount and other cost reduction measures applied as part of the Restructuring Plan. Further contributors to the reduction in general and administrative expenses include reductions of $0.4 million in consulting fees, $0.4 million in insurance, and $0.9 million in other business taxes. The decrease was partially offset by increases of $2.6 million and $1.4 million in legal and professional fees and offices expenses, respectively, as we continue to operate as a public entity. 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Restructuring expense was $4.6 million for the year ended December 31, 2023 as a result of the Restructuring Plan. This consisted of $0.8 million of sales and marketing costs, $3.5 million of research and development costs and $0.3 million of general and administrative costs. Refer to “Liquidity and Capital Resources” for additional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Interest expense increased by $10.7 million, or 155%, in 2023 compared to 2022. The increase in interest expense is primarily attributable to the Senior Secured Term Loan Credit Agreement with ACP Post OAK Credit II LLC (the “Term Loan”) executed in April 2023, which resulted in $9.9 million of interest expense in 2023. Further, $5.4 million was incurred from the amortization of the debt discount, Lender Fees and issuance cost in 2023. The Term Loan resulted in higher interest expense in 2023 compared to the Company’s 2021 note payable (“SVB March 2021 Note”)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8" w:right="1440" w:bottom="348" w:gutter="0" w:footer="0" w:header="0"/>
          <w:type w:val="continuous"/>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20"/>
          <w:szCs w:val="20"/>
          <w:color w:val="auto"/>
        </w:rPr>
        <w:t>and 2021 convertible note (“SCI June 2021 Note”) in 2022, which were terminated at the time that the Term Loan was obtained. Comparatively, in 2022, we incurred approximately $4.3 million of interest expense and approximately $1.9 million of amortization of debt discount and issuance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other income (expense), net by type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8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8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Interest income . . . . . . . . . . . . . . . . . . . . .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12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635%</w:t>
            </w:r>
          </w:p>
        </w:tc>
      </w:tr>
      <w:tr>
        <w:trPr>
          <w:trHeight w:val="257"/>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derivative and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356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warrant liability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(606)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606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7"/>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change in fair value of ELOC</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356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program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(1,901)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(826)</w:t>
            </w:r>
          </w:p>
        </w:tc>
        <w:tc>
          <w:tcPr>
            <w:tcW w:w="340" w:type="dxa"/>
            <w:vAlign w:val="bottom"/>
          </w:tcPr>
          <w:p>
            <w:pPr>
              <w:spacing w:after="0"/>
              <w:rPr>
                <w:sz w:val="19"/>
                <w:szCs w:val="19"/>
                <w:color w:val="auto"/>
              </w:rPr>
            </w:pPr>
          </w:p>
        </w:tc>
        <w:tc>
          <w:tcPr>
            <w:tcW w:w="1040" w:type="dxa"/>
            <w:vAlign w:val="bottom"/>
            <w:gridSpan w:val="4"/>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77%</w:t>
            </w:r>
          </w:p>
        </w:tc>
      </w:tr>
      <w:tr>
        <w:trPr>
          <w:trHeight w:val="261"/>
        </w:trPr>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Other income, net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493%</w:t>
            </w:r>
          </w:p>
        </w:tc>
      </w:tr>
      <w:tr>
        <w:trPr>
          <w:trHeight w:val="20"/>
        </w:trPr>
        <w:tc>
          <w:tcPr>
            <w:tcW w:w="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40"/>
        </w:trPr>
        <w:tc>
          <w:tcPr>
            <w:tcW w:w="3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Total other income (expense), net . . . .</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0"/>
        </w:trPr>
        <w:tc>
          <w:tcPr>
            <w:tcW w:w="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Interest income increased by $2.5 million, or 635%, in 2023 compared to 2022. The increase was primarily attributable to interest earned on greater money market and treasury bond balances during 2023 as we engaged in significant transactions that increased our liquidity. Refer to “Liquidity and Capital Resources” for a discussion of the changes in our business that led to an increase in cash for the year ended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Change in Fair Value of Equity Line of Credit Program</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recorded changes in the fair value of the derivative liability associated with the ELOC (as defined below) of $1.9 million and $1.1 million respectively, for the years ended December 31, 2023 and 2022 as other income (expense), net on its consolidated statements of operations and comprehensive loss. This decrease in fair value is driven by the sale in 2023 of the remaining number of shares available for sale under the ELOC Program, as shares were sold at a purchase price equal to 97% of the volume weighted average stock price for a given purchase date.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6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47"/>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5"/>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3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for income taxes . . . . .  $</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100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2,889</w:t>
            </w:r>
          </w:p>
        </w:tc>
        <w:tc>
          <w:tcPr>
            <w:tcW w:w="920" w:type="dxa"/>
            <w:vAlign w:val="bottom"/>
            <w:gridSpan w:val="3"/>
          </w:tcPr>
          <w:p>
            <w:pPr>
              <w:jc w:val="right"/>
              <w:ind w:right="5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w:t>
            </w:r>
          </w:p>
        </w:tc>
      </w:tr>
    </w:tbl>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Provision for income taxes increased by $1.0 million, or 35%, in 2023 compared to 2022. The increase was primarily attributable to increased withholding tax from foreign customers and foreign taxes as we experienced increased sales outside of the United States in 2023 compared to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Total unrestricted cash and cash equivalents on hand as of December 31, 2023 was $95.3 million. Although the Company has incurred recurring losses each year since its inception, the Company expects it will be able to fund its operations for at least the next twelve months. We believe we will meet longer-term expected future cash requirements and obligations through a combination of cash flows from operating activities, available cash balances, sales of common stock under our Sales Agreement (as defined below) and available credit through our Term Loan (as defined below). However, our projections of future cash needs and cash flows may differ from historical results. If current cash on hand, cash equivalents, short-term investments and cash that may be generated from our business operations are insufficient to continue to operate our business, or if we elect to invest in or acquire a company or companies or new technology or technologies that are synergistic with or complementary to our technologies, we may be required to obtain more working capital. We may seek to obtain working capital during our fiscal year 2024 or thereafter through</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48" w:right="1440" w:bottom="348" w:gutter="0" w:footer="0" w:header="0"/>
          <w:type w:val="continuous"/>
        </w:sectPr>
      </w:pPr>
    </w:p>
    <w:bookmarkStart w:id="56" w:name="page57"/>
    <w:bookmarkEnd w:id="56"/>
    <w:p>
      <w:pPr>
        <w:jc w:val="both"/>
        <w:spacing w:after="0" w:line="246" w:lineRule="auto"/>
        <w:rPr>
          <w:sz w:val="20"/>
          <w:szCs w:val="20"/>
          <w:color w:val="auto"/>
        </w:rPr>
      </w:pPr>
      <w:r>
        <w:rPr>
          <w:rFonts w:ascii="Times New Roman" w:cs="Times New Roman" w:eastAsia="Times New Roman" w:hAnsi="Times New Roman"/>
          <w:sz w:val="20"/>
          <w:szCs w:val="20"/>
          <w:color w:val="auto"/>
        </w:rPr>
        <w:t>sales of our equity securities (including through our currently active Sales Agreement) or through bank credit facilities or public or private debt from various financial institutions where possible, though the availability of such funding, and applicable terms, will be dependent on prevailing market conditions.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we do identify sources for additional funding, the sale of additional equity securities or convertible debt will result in dilution to our stockholders. We can give no assurance that we will generate sufficient cash flows in the future to satisfy our liquidity requirements or sustain future operations, or that other sources of funding, such as sales of equity or debt, would be available or would be approved by our security 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and Material Cash Requirements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principal sources of liquidity are our cash and cash equivalents, which are sourced primarily from the Term Loan, and marketable securities. The primary uses of cash include the funding of operating expenses, as well as debt service obligations.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our material cash requirements for future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8"/>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1"/>
              <w:spacing w:after="0" w:line="201" w:lineRule="exact"/>
              <w:rPr>
                <w:sz w:val="20"/>
                <w:szCs w:val="20"/>
                <w:color w:val="auto"/>
              </w:rPr>
            </w:pPr>
            <w:r>
              <w:rPr>
                <w:rFonts w:ascii="Times New Roman" w:cs="Times New Roman" w:eastAsia="Times New Roman" w:hAnsi="Times New Roman"/>
                <w:sz w:val="18"/>
                <w:szCs w:val="18"/>
                <w:b w:val="1"/>
                <w:bCs w:val="1"/>
                <w:color w:val="auto"/>
              </w:rPr>
              <w:t>Thereafter</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Term Loan . . . . . . . . . . . . . . . . . . . . . . . . . . . . . . . . .</w:t>
            </w:r>
          </w:p>
        </w:tc>
        <w:tc>
          <w:tcPr>
            <w:tcW w:w="13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Cash interest payable on the Term Loan . . . . . . . . . .</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45,450</w:t>
            </w: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Lender Fees payable on the Term Loan . . . . . . . . . . .</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17,680</w:t>
            </w: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Cloud service provider agreement . . . . . . . . . . . . . .</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89,000</w:t>
            </w: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6,376</w:t>
            </w:r>
          </w:p>
        </w:tc>
      </w:tr>
      <w:tr>
        <w:trPr>
          <w:trHeight w:val="261"/>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 . . . . . . . . . . . . . . . . . . . . . . . . . . . . . .</w:t>
            </w:r>
          </w:p>
        </w:tc>
        <w:tc>
          <w:tcPr>
            <w:tcW w:w="2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Total material cash requirements . . . . . . . . . . . . . . .</w:t>
            </w:r>
          </w:p>
        </w:tc>
        <w:tc>
          <w:tcPr>
            <w:tcW w:w="1340" w:type="dxa"/>
            <w:vAlign w:val="bottom"/>
            <w:gridSpan w:val="2"/>
          </w:tcPr>
          <w:p>
            <w:pPr>
              <w:jc w:val="right"/>
              <w:ind w:right="115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35,526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223,114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258,640</w:t>
            </w:r>
          </w:p>
        </w:tc>
      </w:tr>
      <w:tr>
        <w:trPr>
          <w:trHeight w:val="20"/>
        </w:trPr>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Synq3 Acquisition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January 3, 2024, the Company acquired all of the issued and outstanding equity of Synq3 for total consideration of approximately $5.0 million in cash, subject to customary net working capital adjustments, and 8,968,610 shares of the Company’s Class A common stock. The Company has agreed to pay up to $4.0 million of additional consideration in cash and shares of the Company’s Class A common stock to certain stockholders of Synq3 based on tiered annual revenue targets for each fiscal year 2024, 2025 and 2026, of which 20% is to be paid in cash and the remaining in the Company’s Class A common stock. The stock consideration was based on a reference value of $2.23 per share upon the execution of the merger agreement dated December 6, 2023. In connection with the closing, approximately $0.5 million of additional consideration in cash and 1,179,524 shares of our Class A common stock are being withheld for a period of 15 months to partially secure the indemnification obligations of Synq3 stockholders under the merger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Agreement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July 28, 2023, we entered into the Sales Agreement with Cantor Fitzgerald &amp; Co., H.C. Wainwright &amp; Co., LLC, and D.A. Davidson &amp; Co. (each a “Sales Agent” and collectively, the “Sales Agents”), pursuant to which the Company may offer and sell up to $150.0 million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8" w:right="1440" w:bottom="348" w:gutter="0" w:footer="0" w:header="0"/>
          <w:type w:val="continuous"/>
        </w:sectPr>
      </w:pPr>
    </w:p>
    <w:bookmarkStart w:id="57" w:name="page58"/>
    <w:bookmarkEnd w:id="57"/>
    <w:p>
      <w:pPr>
        <w:jc w:val="both"/>
        <w:spacing w:after="0" w:line="265" w:lineRule="auto"/>
        <w:rPr>
          <w:sz w:val="20"/>
          <w:szCs w:val="20"/>
          <w:color w:val="auto"/>
        </w:rPr>
      </w:pPr>
      <w:r>
        <w:rPr>
          <w:rFonts w:ascii="Times New Roman" w:cs="Times New Roman" w:eastAsia="Times New Roman" w:hAnsi="Times New Roman"/>
          <w:sz w:val="19"/>
          <w:szCs w:val="19"/>
          <w:color w:val="auto"/>
        </w:rPr>
        <w:t>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 thousand in the aggregate in connection with the execution of the Sales Agreement.</w:t>
      </w:r>
    </w:p>
    <w:p>
      <w:pPr>
        <w:spacing w:after="0" w:line="15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the Company sold 5,805,995 shares of our Class A common stock under the Sales Agreement at a weighted-average price of $2.19 per share and raised $12.7 million of gross proceeds. In January and February 2024, we raised additional funds from sales of Class A common stock under this agreement, selling 34,578,019 shares of our common stock at a weighted-average price of $3.37 per share and raising $116.4 million of gross proceeds.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Line of Credit (ELOC)</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August 16, 2022, we entered into a common stock purchase agreement (the “Common Stock Purchase Agreement”) and related registration rights agreement (the “CFPI Registration Rights Agreement”) with CF Principal Investments LLC (“CFPI”). Pursuant to the Common Stock Purchase Agreement, the Company, had the right to sell to CFPI up to the lesser of (i) 25,000,000 shares of Class A common stock and (ii) the Exchange Cap (as defined in the Common Stock Purchase Agreement), subject to certain limitations and conditions set forth in the Common Stock Purchase Agreement at a purchase price equal to 97% of the volume weighted average stock price for a given purchase date (the “ELOC Program” or “ELOC”). On February 14, 2023, the Company’s Registration Statement on Form S-1 registering the resale of the ELOC shares was declared effective. In connection with the execution of the Common Stock Purchase Agreement and the side letter on February 14, 2023, the Company issued 250,000 shares of Common Stock (the “Initial Commitment Shares”) and an additional cash commitment fee of $0.3 million.</w:t>
      </w:r>
    </w:p>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we have sold the entirety of the 25,000,000 shares under the ELOC Program for aggregate proceeds of approximately $71.7 million, with the volume weighted average stock price of shares purchased by the Counterparty ranging from $1.75 to $4.26 per share. We utilized proceeds from the ELOC for working capital and other general corporate purposes.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A Preferred Stock</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January 20, 2023, we entered into Preferred Stock Purchase Agreements (the “Purchase Agreements”) with certain investors (the “Investors”) pursuant to which the Company issued and sold to the Investors an aggregate of 835,011 shares of its newly designated Series A convertible preferred stock with a par value of $0.0001 per share (the “Series A Preferred Stock”), raising approximately $25.0 million in cash proceeds. The Series A Preferred Stock is not mandatorily redeemable. Each share of Series A Preferred Stock is convertible, at the option of the holder, into such number of shares of Class A Common Stock equal to the liquidation preference per share (“Liquidation Preference”)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holders of Series A Preferred Stock are entitled to cumulative dividends payable for such share at the rate of 14% per annum, compounding semi-annually to Liquidation Preference on January 1 and July 1 of each year. During the year ended December 31, 2023, the Company recorded $2.8 million of cumulative dividends attributable to Series A Preferred Stock holders, all of which were paid in shares. The Company may also elect to pay any dividend in cash in lieu of accretion to Liquidation Preference if permitted under the agreements and instruments governing its outstanding indebtedness at such time.</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Series A common stock for resale under the Securities Act.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48" w:right="1440" w:bottom="348"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On January 5, 2023, SoundHound announced the Restructuring Plan, which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5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and comprehensive loss as incurred. During the year ended December 31, 2023, we recorded $4.6 million of restructuring expenses in connection with the Restructuring Plan, of which $1.4 million were cash payments. The Restructuring Plan was complete as of December 31,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November 15, 2021, Archimedes Tech SPAC Partners Co. (“ATSP”), SoundHound, Inc. (“Legacy SoundHound”) and ATSPC Merger Sub, Inc. (“Merger Sub”) entered into a merger agreement (“Merger Agreement”) pursuant to which Merger Sub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a private placement (the “PIPE”) investment. Upon the Closing of the Business Combination, ATSP changed its name to SoundHound AI, Inc.</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Cash proceeds of the Business Combination were funded through a combination of $5.4 million in cash held in trust by ATSP (following satisfaction of redemptions by public stockholders) with 532,050 shares of SoundHound AI Class A common stock remaining outstanding, and $113.0 million in aggregate gross proceeds from PIPE investors in exchange for 11,300,000 shares of SoundHound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were intended to be used for general corporate purposes, including investments in sales, marketing and advancement of product development, but which may also be used to acquire other companies in the Voice AI industry.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Impact of the Business Combination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and Other Obligations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Note 9 and Note 15 to our consolidated financial statements included within this Annual Report on Form 10-K for more information.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1" w:right="1440" w:bottom="348"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Debt Financing</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On April 14, 2023 (“Term Loan Closing Date”), the Company entered into a Senior Secured Term Loan Credit Agreement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entirety of which was funded on the closing date of the arrangement. The Credit Agreement also permits the Company to request additional commitments of up to $25.0 million in the aggregate. In addition, the Company is obligated to pay incremental lender fees, beginning on the Term Loan Closing Date, equal to initially 3.5% of the principal amount of the Term Loans, decreasing to 2.5% after the 18-month anniversary, semi-annually (the “Lender Fees”) to provide a collateral protection insurance policy on behalf of the Lenders. The Lender Fees are effectively additional fees payable to the Lenders as the Lenders are the sole beneficiary of the insurance policy and is therefore being recognized as interest expense over the term of the Term Loan based on the effective interest method. 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 together with related taxes, with the remaining proceeds to be used to fund growth investments and for general corporate purposes as permitted under the Credit Agreement.</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 As of December 31, 2023, the interest rate was approximately 14.0%. 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Repayment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$11.5 million, (ii) a prepayment premium of approximately $0.2 million and (iii) a nominal amount for transaction expenses. The Company recorded a loss on debt extinguishment of $0.4 million related to the early repayment in interest expense in the consolidated statements of operations and comprehensive loss. In connection with the SVB March 2021 Note prepayment, the Company paid a total of $18.5 million, which consisted of (i) the remaining principal amount outstanding of $18.1 million, (ii) a prepayment premium of $0.3 million, (iii) accrued and unpaid interest of $0.1 million and (iv) a nominal amount for transaction expenses. The Company recorded a loss on debt extinguishment of $0.4 million related to the early repayment in interest expense in the consolidated statements of operations and comprehensive loss.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 . . . . . . . . . . . .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(68,265)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(94,019)</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(1,329)</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168,237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Effects of exchange rate changes on cash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change in cash, cash equivalents, and restricted cash equivalents</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vMerge w:val="continue"/>
          </w:tcPr>
          <w:p>
            <w:pPr>
              <w:ind w:left="5500"/>
              <w:spacing w:after="0" w:line="192" w:lineRule="exact"/>
              <w:rPr>
                <w:sz w:val="20"/>
                <w:szCs w:val="20"/>
                <w:color w:val="auto"/>
              </w:rPr>
            </w:pPr>
            <w:r>
              <w:rPr>
                <w:rFonts w:ascii="Times New Roman" w:cs="Times New Roman" w:eastAsia="Times New Roman" w:hAnsi="Times New Roman"/>
                <w:sz w:val="20"/>
                <w:szCs w:val="20"/>
                <w:color w:val="auto"/>
              </w:rPr>
              <w:t>. . . . . . . . .</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99,560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(13,347)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1" w:right="1440" w:bottom="348"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Operating Activities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Net cash used in operating activities was $68.3 million during 2023 compared to $94.0 million during 2022. The $25.7 million decrease in cash used in operating activities was primarily due to our decreased net loss (refer to the “Results of Operations”), adjusted for non-cash expenses, including stock-based compensation and depreciation and amortization. We experienced a significant increase in our contract assets balance of $19.6 million due to significant licensing revenue transactions where we recognize revenue upfront upon delivery of intellectual property with cash payments occurring in future periods. This difference in timing between revenue recognition and cash collection decreased the amount of cash available for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cash used in investing activities was $0.4 million during 2023 compared to $1.3 million during 2022. The $0.9 million decrease in cash used in investing activities was driven by reduced purchases of property and equipment during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Provided by Financing Activities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Net cash provided by financing activities was $168.2 million during 2023 compared to $82.0 million during 2022. The $86.2 million increase in cash provided by financing activities was primarily due to the $85.1 million in net proceeds from the issuance of the Term Loan, $71.6 million in net proceeds from sales of Class A common stock under the ELOC program, and $25.0 million in proceeds from the issuance of Series A Preferred Stock in 2023. These multiple capital fundraising activities in 2023 led to increased cash flows when compared to the net proceeds of $90.7 million received from the Business Combination in 2022. Increases to cash flows provided by financing activities in both 2023 and 2022 were offset by the repayment of outstanding notes payable in both years.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preparing our consolidated financial statements in accordance with GAAP and pursuant to the rules and regulations of the SEC, we make assumptions, judgments and estimates that affect the reported amounts of assets, liabilities, revenue and expenses, and related disclosures of contingent assets and liabilities. We base our assumptions, judgments and estimates on historical experience and various other factors that we believe to be reasonable under the circumstances. Actual results could differ materially from these estimates under different assumptions or conditions. We evaluate our assumptions, judgments and estimates on a regular basis. We also discuss our critical accounting policies and estimates with the Audit Committee of the Board of Directors.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that the assumptions, judgments and estimates involved in the accounting for revenue recognition, convertible notes and derivative liabilities, warrant liabilities and stock-based compensation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 Historically, our assumptions, judgments and estimates relative to our critical accounting policies have not differed materially from actual results.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41" w:right="1440" w:bottom="348"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We recognize revenue with customers in accordance with ASC Topic 606, </w:t>
      </w:r>
      <w:r>
        <w:rPr>
          <w:rFonts w:ascii="Times New Roman" w:cs="Times New Roman" w:eastAsia="Times New Roman" w:hAnsi="Times New Roman"/>
          <w:sz w:val="20"/>
          <w:szCs w:val="20"/>
          <w:i w:val="1"/>
          <w:iCs w:val="1"/>
          <w:color w:val="auto"/>
        </w:rPr>
        <w:t>Revenue from Contracts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Customers</w:t>
      </w:r>
      <w:r>
        <w:rPr>
          <w:rFonts w:ascii="Times New Roman" w:cs="Times New Roman" w:eastAsia="Times New Roman" w:hAnsi="Times New Roman"/>
          <w:sz w:val="20"/>
          <w:szCs w:val="20"/>
          <w:color w:val="auto"/>
        </w:rPr>
        <w:t>. We primarily derive revenue from the following performance obligations: (1) hosted services,</w:t>
      </w:r>
    </w:p>
    <w:p>
      <w:pPr>
        <w:spacing w:after="0" w:line="14" w:lineRule="exact"/>
        <w:rPr>
          <w:sz w:val="20"/>
          <w:szCs w:val="20"/>
          <w:color w:val="auto"/>
        </w:rPr>
      </w:pPr>
    </w:p>
    <w:p>
      <w:pPr>
        <w:spacing w:after="0" w:line="243" w:lineRule="auto"/>
        <w:tabs>
          <w:tab w:leader="none" w:pos="30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services, (3) monetization, and (4) licensing. We apply significant judgement in identifying and evaluating any terms and conditions in contracts which may impact revenue recognition.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Hosted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to twenty years.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Professional Services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Monetization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the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41" w:right="1440" w:bottom="348" w:gutter="0" w:footer="0" w:header="0"/>
          <w:type w:val="continuous"/>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20"/>
          <w:szCs w:val="20"/>
          <w:color w:val="auto"/>
        </w:rPr>
        <w:t>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62" w:lineRule="exact"/>
        <w:rPr>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developing and supplying each performance obligation;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standards;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product groupings;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objectives and pricing practices, such as contractually stated prices, discounts offered and applicable price lists.</w:t>
      </w:r>
    </w:p>
    <w:p>
      <w:pPr>
        <w:spacing w:after="0" w:line="17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Offerings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enter into certain agreements to sell common stock with counterparties to further support our growth strategy through initiatives such as accretive acquisitions and internal investments, to bolster working capital and for general corporate purposes. We evaluate our common stock purchase agreements to determine whether they are indexed to our own common stock, and therefore whether they should be accounted for as derivatives with changes in fair value as other income (expense), net in the consolidated statement of operations and comprehensive loss in the period in which they occur. We subsequently assess the changes in the fair value of the derivative liability and record these changes through profit or loss in the consolidated statements of operations and comprehensive loss.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The Company uses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by using the Black-Scholes option-pricing model with the following assumptions:</w:t>
      </w:r>
    </w:p>
    <w:p>
      <w:pPr>
        <w:spacing w:after="0" w:line="15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The Company estimates volatility for the awards by evaluating the average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of a peer group of companies for the period immediately preceding the award grant for a term that is approximately equal to the awards’s expected term.</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8" w:right="1440" w:bottom="348" w:gutter="0" w:footer="0" w:header="0"/>
          <w:type w:val="continuous"/>
        </w:sectPr>
      </w:pPr>
    </w:p>
    <w:bookmarkStart w:id="63" w:name="page64"/>
    <w:bookmarkEnd w:id="63"/>
    <w:p>
      <w:pPr>
        <w:jc w:val="both"/>
        <w:ind w:left="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The expected term of the Company’s awards represents the period that the stock-based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68"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risk-free interest rate is based on the implied yield currently available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 Treasury zero-coupon issues with a term that is equal to the awards’ expected term at the grant date.</w:t>
      </w:r>
    </w:p>
    <w:p>
      <w:pPr>
        <w:spacing w:after="0" w:line="174"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 The Company has not declared or paid dividends to date and does not anticipate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declaring dividends. As such, expected dividend yield is zero.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See Note 2 of our notes to the consolidated financial statements included within this Annual Report on Form 10-K for information regarding recent accounting pronouncements that are of significance, or potential significance to us.</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has exposure to interest rate risk, primarily in the form of variable-rate borrowings. Refer to “Liquidity and Capital Resources” in “Item 7. Management’s Discussion and Analysis of Financial Condition and Results of Operations”.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the Company had total borrowings of $100.0 million outstanding with an interest rate of 14.0%. With all other variables remaining constant, an increase in the short-term interest rate of 1 percent would result in an increase in the annual interest expense of approximately $1.0 million. Refer to Note 9: Convertible Notes and Note Payable for additional information related to the Company’s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Risk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approximately $0.5 million and $0.7 million during the years ended December 31, 2023 and 2022, respectively. We do not believe that an immediate 10% increase or decrease in the relative value of the U.S. dollar to other currencies would have a material effect on operating results.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8" w:right="1440" w:bottom="348" w:gutter="0" w:footer="0" w:header="0"/>
          <w:type w:val="continuous"/>
        </w:sectPr>
      </w:pPr>
    </w:p>
    <w:bookmarkStart w:id="64" w:name="page65"/>
    <w:bookmarkEnd w:id="64"/>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5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8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5346700</wp:posOffset>
                </wp:positionH>
                <wp:positionV relativeFrom="paragraph">
                  <wp:posOffset>13970</wp:posOffset>
                </wp:positionV>
                <wp:extent cx="520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pt,1.1pt" to="462pt,1.1pt" o:allowincell="f" strokecolor="#000000" strokeweight="0.5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(PricewaterhouseCoopers LLP, PCAOB</w:t>
      </w:r>
    </w:p>
    <w:p>
      <w:pPr>
        <w:ind w:left="20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ID:238)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60</w:t>
      </w:r>
    </w:p>
    <w:p>
      <w:pPr>
        <w:spacing w:after="0" w:line="31"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0"/>
          <w:szCs w:val="20"/>
          <w:color w:val="auto"/>
        </w:rPr>
        <w:t>Report of Independent Registered Public Accounting Firm (Armanino LLP, PCAOB ID: 32) . . . . . . . . .</w:t>
      </w:r>
      <w:r>
        <w:rPr>
          <w:sz w:val="20"/>
          <w:szCs w:val="20"/>
          <w:color w:val="auto"/>
        </w:rPr>
        <w:tab/>
      </w:r>
      <w:r>
        <w:rPr>
          <w:rFonts w:ascii="Times New Roman" w:cs="Times New Roman" w:eastAsia="Times New Roman" w:hAnsi="Times New Roman"/>
          <w:sz w:val="20"/>
          <w:szCs w:val="20"/>
          <w:color w:val="auto"/>
        </w:rPr>
        <w:t>63</w:t>
      </w:r>
    </w:p>
    <w:p>
      <w:pPr>
        <w:spacing w:after="0" w:line="30"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w:t>
      </w:r>
      <w:r>
        <w:rPr>
          <w:sz w:val="20"/>
          <w:szCs w:val="20"/>
          <w:color w:val="auto"/>
        </w:rPr>
        <w:tab/>
      </w:r>
      <w:r>
        <w:rPr>
          <w:rFonts w:ascii="Times New Roman" w:cs="Times New Roman" w:eastAsia="Times New Roman" w:hAnsi="Times New Roman"/>
          <w:sz w:val="20"/>
          <w:szCs w:val="20"/>
          <w:color w:val="auto"/>
        </w:rPr>
        <w:t>64</w:t>
      </w:r>
    </w:p>
    <w:p>
      <w:pPr>
        <w:spacing w:after="0" w:line="30"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 . . . . . . . . . . . . . . . . . . . . . . . . . . . . . . .</w:t>
      </w:r>
      <w:r>
        <w:rPr>
          <w:sz w:val="20"/>
          <w:szCs w:val="20"/>
          <w:color w:val="auto"/>
        </w:rPr>
        <w:tab/>
      </w:r>
      <w:r>
        <w:rPr>
          <w:rFonts w:ascii="Times New Roman" w:cs="Times New Roman" w:eastAsia="Times New Roman" w:hAnsi="Times New Roman"/>
          <w:sz w:val="20"/>
          <w:szCs w:val="20"/>
          <w:color w:val="auto"/>
        </w:rPr>
        <w:t>65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Redeemable Convertible Preferred Stock and Stockholders’ Equity</w:t>
      </w:r>
    </w:p>
    <w:p>
      <w:pPr>
        <w:ind w:left="20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(Deficit).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66</w:t>
      </w:r>
    </w:p>
    <w:p>
      <w:pPr>
        <w:spacing w:after="0" w:line="31"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w:t>
      </w:r>
      <w:r>
        <w:rPr>
          <w:sz w:val="20"/>
          <w:szCs w:val="20"/>
          <w:color w:val="auto"/>
        </w:rPr>
        <w:tab/>
      </w:r>
      <w:r>
        <w:rPr>
          <w:rFonts w:ascii="Times New Roman" w:cs="Times New Roman" w:eastAsia="Times New Roman" w:hAnsi="Times New Roman"/>
          <w:sz w:val="20"/>
          <w:szCs w:val="20"/>
          <w:color w:val="auto"/>
        </w:rPr>
        <w:t>70</w:t>
      </w:r>
    </w:p>
    <w:p>
      <w:pPr>
        <w:spacing w:after="0" w:line="30"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1" w:right="1440" w:bottom="348" w:gutter="0" w:footer="0" w:header="0"/>
          <w:type w:val="continuous"/>
        </w:sectPr>
      </w:pPr>
    </w:p>
    <w:bookmarkStart w:id="65" w:name="page66"/>
    <w:bookmarkEnd w:id="65"/>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SoundHound AI,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 of SoundHound AI, Inc. and its subsidiaries (the “Company”) as of December 31, 2023, and the related consolidated statements of operations and comprehensive loss, of redeemable convertible preferred stock and stockholders’ equity (deficit) and of cash flows for the year then ended,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2023, and the results of its operations and its cash flows for the year then ended in conformity with accounting principles generally accepted in the United States of America. Also in our opinion, the Company did not maintain, in all material respects, effective internal control over financial reporting as of December 31, 2023,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 because material weaknesses in internal control over financial reporting existed as of that date related to the Company not designing and maintaining (i) an effective control environment due to insufficient oversight of activities related to internal control over financial reporting due to lack of an appropriate level of experience and training commensurate with the Company’s financial reporting requirements, (ii) effective controls to respond to changes to the risks of material misstatement to financial reporting which resulted in the Company not designing and maintaining effective controls related to substantially all accounts and disclosures, (iii) effective controls to verify appropriate accounting for complex financing transactions, (iv) effective controls to verify appropriate segregation of duties, including assessment of incompatible duties and addressing conflicts on a timely basis, and (v) effective controls over certain information technology general controls over information systems that are relevant to the preparation of the Company’s financial statements, including not maintaining user access controls, program change management controls, and computer operations controls.</w:t>
      </w:r>
    </w:p>
    <w:p>
      <w:pPr>
        <w:spacing w:after="0" w:line="18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sectPr>
          <w:pgSz w:w="12240" w:h="15840" w:orient="portrait"/>
          <w:cols w:equalWidth="0" w:num="1">
            <w:col w:w="9360"/>
          </w:cols>
          <w:pgMar w:left="1440" w:top="941"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1" w:right="1440" w:bottom="348" w:gutter="0" w:footer="0" w:header="0"/>
          <w:type w:val="continuous"/>
        </w:sectPr>
      </w:pPr>
    </w:p>
    <w:bookmarkStart w:id="66" w:name="page67"/>
    <w:bookmarkEnd w:id="66"/>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As described in Notes 2 and 4 to the consolidated financial statements, the Company derives its revenue primarily from the following performance obligations: (1) hosted services, (2) professional services, (3) monetization and (4) licensing. Contracts are accounted for by management when the parties have approved and committed to the contract, the rights of the parties and payment terms are identifiable, the contract has commercial substance and collectability of consideration is probable. Revenues are generally recognized upon the transfer of control of promised products or services provided to customers, reflecting the amount of consideration the Company expects for those products or services. Management applies significant judgment in identifying and evaluating any terms and conditions in contracts which may impact revenue recognition. The Company’s consolidated revenues for the year ended December 31, 2023 were $45.9 million.</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is a critical audit matter are (i) the significant judgment by management in identifying and evaluating any terms and conditions in contracts with customers which may impact revenue recognition and (ii) a high degree of auditor judgment, subjectivity and effort in performing procedures and evaluating audit evidence relating to revenue recognition. As described in the “Opinions on the Financial Statements and Internal Control over Financial Reporting” section, material weaknesses were identified related to this matter.</w:t>
      </w:r>
    </w:p>
    <w:p>
      <w:pPr>
        <w:spacing w:after="0" w:line="168" w:lineRule="exact"/>
        <w:rPr>
          <w:sz w:val="20"/>
          <w:szCs w:val="20"/>
          <w:color w:val="auto"/>
        </w:rPr>
      </w:pPr>
    </w:p>
    <w:p>
      <w:pPr>
        <w:jc w:val="both"/>
        <w:ind w:right="20" w:firstLine="480"/>
        <w:spacing w:after="0" w:line="266"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among others, (i) evaluating and determining the nature and extent of audit procedures performed and evidence obtained that are responsive to the</w:t>
      </w:r>
    </w:p>
    <w:p>
      <w:pPr>
        <w:sectPr>
          <w:pgSz w:w="12240" w:h="15840" w:orient="portrait"/>
          <w:cols w:equalWidth="0" w:num="1">
            <w:col w:w="9380"/>
          </w:cols>
          <w:pgMar w:left="1440" w:top="948" w:right="1420" w:bottom="348" w:gutter="0" w:footer="0" w:header="0"/>
        </w:sect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80"/>
          </w:cols>
          <w:pgMar w:left="1440" w:top="948" w:right="1420" w:bottom="348" w:gutter="0" w:footer="0" w:header="0"/>
          <w:type w:val="continuous"/>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0"/>
          <w:szCs w:val="20"/>
          <w:color w:val="auto"/>
        </w:rPr>
        <w:t>material weaknesses identified; (ii) obtaining an understanding of management’s process for identifying and evaluating terms and conditions in contracts, including evaluating management’s determination of the impact of those terms and conditions on revenue recognition; (iii) testing, on a sample basis, (a) the completeness and accuracy of management’s identification and evaluation of terms and conditions by examining contracts and (b) revenue transactions by obtaining and inspecting source documents, such as contracts, purchase orders, invoices, proof of delivery, and subsequent cash receipts; (iv) testing, on a sample basis, the timing of recognition of revenue transactions; and (v) testing, on a sample basis, the determination of the standalone selling price of performance obligations and testing the completeness and accuracy of the underlying data used by management in determining standalone selling price of performance obligations.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48" w:right="1440" w:bottom="348" w:gutter="0" w:footer="0" w:header="0"/>
          <w:type w:val="continuous"/>
        </w:sectPr>
      </w:pPr>
    </w:p>
    <w:bookmarkStart w:id="68" w:name="page69"/>
    <w:bookmarkEnd w:id="68"/>
    <w:p>
      <w:pPr>
        <w:ind w:left="12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SoundHound AI,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Opinion on the Financial Statements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SoundHound AI, Inc. (the “Company”) as of December 31, 2022, and the related consolidated statements of operations and comprehensive loss, consolidated statements of redeemable convertible preferred stock and stockholders’ deficit, and consolidated statements of cash flows for each of the two years in the period ended December 31, 2022 , and the related notes (collectively, referred to as the “consolidated financial statements”).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our opinion, the consolidated financial statements present fairly, in all material respects, the financial position of the Company as of December 31, 2022, and the results of their operations and their cash flows for each of the two years in the period ended December 31, 2022, in conformity with accounting principles generally accepted in the United States of America.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for Opinion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ArmaninoLLP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 In 2023, we became the predecessor auditor.</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March 28, 2023, except for the effects of the tables reflecting the impact of the revisions as of and for the year ended December 31, 2022 discussed in Note 20 (not presented herein) to the consolidated financial statements appearing under Item 8 of the Company’s 2023 annual Report (Form 10-K), as to which the date is March 1, 2024.</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2" w:right="1440" w:bottom="348"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8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95,260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200"/>
              <w:spacing w:after="0" w:line="217" w:lineRule="exact"/>
              <w:rPr>
                <w:sz w:val="20"/>
                <w:szCs w:val="20"/>
                <w:color w:val="auto"/>
              </w:rPr>
            </w:pPr>
            <w:r>
              <w:rPr>
                <w:rFonts w:ascii="Times New Roman" w:cs="Times New Roman" w:eastAsia="Times New Roman" w:hAnsi="Times New Roman"/>
                <w:sz w:val="20"/>
                <w:szCs w:val="20"/>
                <w:color w:val="auto"/>
              </w:rPr>
              <w:t>Accounts receivable, net of allowances of $203 and $109 as of December 31,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2023 and 2022, respectively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assets and unbilled revenue, net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113,542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17,703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equivalents, non-current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 . .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and unbilled revenue, non-current, net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assets . . . . . . . . . . . . . . . . . . . . . . . . . . . . . . . . . . . . . . . . . . . . . . . . . .</w:t>
            </w:r>
          </w:p>
        </w:tc>
        <w:tc>
          <w:tcPr>
            <w:tcW w:w="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151,122</w:t>
            </w:r>
          </w:p>
        </w:tc>
        <w:tc>
          <w:tcPr>
            <w:tcW w:w="120" w:type="dxa"/>
            <w:vAlign w:val="bottom"/>
          </w:tcPr>
          <w:p>
            <w:pPr>
              <w:spacing w:after="0"/>
              <w:rPr>
                <w:sz w:val="19"/>
                <w:szCs w:val="19"/>
                <w:color w:val="auto"/>
              </w:rPr>
            </w:pPr>
          </w:p>
        </w:tc>
        <w:tc>
          <w:tcPr>
            <w:tcW w:w="1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37,986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1,653</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 liabilities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 liability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Notes payable . . . . . . . . .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24,223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38,571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net of current portion . . . . . . . . . . . . . . . . . . . . . . . .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net of current portion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Notes payable, net of current portion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liabilities.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122,954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Commitments and contingencies (Note 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 (deficit):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200"/>
              <w:spacing w:after="0" w:line="217" w:lineRule="exact"/>
              <w:rPr>
                <w:sz w:val="20"/>
                <w:szCs w:val="20"/>
                <w:color w:val="auto"/>
              </w:rPr>
            </w:pPr>
            <w:r>
              <w:rPr>
                <w:rFonts w:ascii="Times New Roman" w:cs="Times New Roman" w:eastAsia="Times New Roman" w:hAnsi="Times New Roman"/>
                <w:sz w:val="20"/>
                <w:szCs w:val="20"/>
                <w:color w:val="auto"/>
              </w:rPr>
              <w:t>Series A Preferred Stock, $0.0001 par value; 1,000,000 shares authorized;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475,005 and 0 shares issued and outstanding, aggregate liquidation</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preference of $16,227 and $ – as of December 31, 2023 and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respectively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14,187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7"/>
        </w:trPr>
        <w:tc>
          <w:tcPr>
            <w:tcW w:w="6540" w:type="dxa"/>
            <w:vAlign w:val="bottom"/>
          </w:tcPr>
          <w:p>
            <w:pPr>
              <w:ind w:left="200"/>
              <w:spacing w:after="0" w:line="217" w:lineRule="exact"/>
              <w:rPr>
                <w:sz w:val="20"/>
                <w:szCs w:val="20"/>
                <w:color w:val="auto"/>
              </w:rPr>
            </w:pPr>
            <w:r>
              <w:rPr>
                <w:rFonts w:ascii="Times New Roman" w:cs="Times New Roman" w:eastAsia="Times New Roman" w:hAnsi="Times New Roman"/>
                <w:sz w:val="20"/>
                <w:szCs w:val="20"/>
                <w:color w:val="auto"/>
              </w:rPr>
              <w:t>Class A Common Stock, $0.0001 par value; 455,000,000 shares authorized;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216,943,349 and 160,297,664 shares issued and outstanding as of</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and 2022, respectively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200"/>
              <w:spacing w:after="0" w:line="217" w:lineRule="exact"/>
              <w:rPr>
                <w:sz w:val="20"/>
                <w:szCs w:val="20"/>
                <w:color w:val="auto"/>
              </w:rPr>
            </w:pPr>
            <w:r>
              <w:rPr>
                <w:rFonts w:ascii="Times New Roman" w:cs="Times New Roman" w:eastAsia="Times New Roman" w:hAnsi="Times New Roman"/>
                <w:sz w:val="20"/>
                <w:szCs w:val="20"/>
                <w:color w:val="auto"/>
              </w:rPr>
              <w:t>Class B Common Stock, $0.0001 par value; 44,000,000 shares authorized;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37,485,408 and 39,735,408 shares issued and outstanding as of</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2023 and 2022, respectively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606,135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466,857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(592,379)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(503,442)</w:t>
            </w:r>
          </w:p>
        </w:tc>
        <w:tc>
          <w:tcPr>
            <w:tcW w:w="0" w:type="dxa"/>
            <w:vAlign w:val="bottom"/>
          </w:tcPr>
          <w:p>
            <w:pPr>
              <w:spacing w:after="0"/>
              <w:rPr>
                <w:sz w:val="1"/>
                <w:szCs w:val="1"/>
                <w:color w:val="auto"/>
              </w:rPr>
            </w:pPr>
          </w:p>
        </w:tc>
      </w:tr>
      <w:tr>
        <w:trPr>
          <w:trHeight w:val="24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5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equity (deficit)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28,168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(36,565)</w:t>
            </w:r>
          </w:p>
        </w:tc>
        <w:tc>
          <w:tcPr>
            <w:tcW w:w="0" w:type="dxa"/>
            <w:vAlign w:val="bottom"/>
          </w:tcPr>
          <w:p>
            <w:pPr>
              <w:spacing w:after="0"/>
              <w:rPr>
                <w:sz w:val="1"/>
                <w:szCs w:val="1"/>
                <w:color w:val="auto"/>
              </w:rPr>
            </w:pPr>
          </w:p>
        </w:tc>
      </w:tr>
      <w:tr>
        <w:trPr>
          <w:trHeight w:val="220"/>
        </w:trPr>
        <w:tc>
          <w:tcPr>
            <w:tcW w:w="65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 (deficit) . . . . . . . . . . . . . . . . . . . .</w:t>
            </w: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151,122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41" w:right="1440" w:bottom="348"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Revenues . . . . . . . . . . . . . . . . . . . . .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revenues . . . . . . . . .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Sales and marketing . . . . . .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Research and development .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51,439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76,392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General and administrative .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30,443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Restructuring . . . . . . . . . . . .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operating expenses . . . . . . . . . . . . . . . . . . . . . . . . . .</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114,481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136,801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.Lossfromoperations...............................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(68,608)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(105,672)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(65,327)</w:t>
            </w:r>
          </w:p>
        </w:tc>
        <w:tc>
          <w:tcPr>
            <w:tcW w:w="0" w:type="dxa"/>
            <w:vAlign w:val="bottom"/>
          </w:tcPr>
          <w:p>
            <w:pPr>
              <w:spacing w:after="0"/>
              <w:rPr>
                <w:sz w:val="1"/>
                <w:szCs w:val="1"/>
                <w:color w:val="auto"/>
              </w:rPr>
            </w:pPr>
          </w:p>
        </w:tc>
      </w:tr>
      <w:tr>
        <w:trPr>
          <w:trHeight w:val="38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 . . . . . . . . . .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(17,570)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(6,893)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(8,342)</w:t>
            </w: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(expense), net . . . . . . . . . . .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(5,415)</w:t>
            </w:r>
          </w:p>
        </w:tc>
        <w:tc>
          <w:tcPr>
            <w:tcW w:w="0" w:type="dxa"/>
            <w:vAlign w:val="bottom"/>
          </w:tcPr>
          <w:p>
            <w:pPr>
              <w:spacing w:after="0"/>
              <w:rPr>
                <w:sz w:val="1"/>
                <w:szCs w:val="1"/>
                <w:color w:val="auto"/>
              </w:rPr>
            </w:pPr>
          </w:p>
        </w:tc>
      </w:tr>
      <w:tr>
        <w:trPr>
          <w:trHeight w:val="20"/>
        </w:trPr>
        <w:tc>
          <w:tcPr>
            <w:tcW w:w="50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Total other expense, net . . . . . . . . . . . . . . . . . . . . . . . .</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20" w:type="dxa"/>
            <w:vAlign w:val="bottom"/>
            <w:vMerge w:val="continue"/>
          </w:tcPr>
          <w:p>
            <w:pPr>
              <w:jc w:val="right"/>
              <w:spacing w:after="0" w:line="192" w:lineRule="exact"/>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(8,152)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(13,757)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Loss before provision for income taxes . . . . . . . . . . . . . . . . .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(113,824)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(79,084)</w:t>
            </w:r>
          </w:p>
        </w:tc>
        <w:tc>
          <w:tcPr>
            <w:tcW w:w="0" w:type="dxa"/>
            <w:vAlign w:val="bottom"/>
          </w:tcPr>
          <w:p>
            <w:pPr>
              <w:spacing w:after="0"/>
              <w:rPr>
                <w:sz w:val="1"/>
                <w:szCs w:val="1"/>
                <w:color w:val="auto"/>
              </w:rPr>
            </w:pP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Provision for income taxes . . . . . . . . . . . . . . . . . . . . . . . . . . . .</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(88,937)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(116,713)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(79,540)</w:t>
            </w:r>
          </w:p>
        </w:tc>
        <w:tc>
          <w:tcPr>
            <w:tcW w:w="0" w:type="dxa"/>
            <w:vAlign w:val="bottom"/>
          </w:tcPr>
          <w:p>
            <w:pPr>
              <w:spacing w:after="0"/>
              <w:rPr>
                <w:sz w:val="1"/>
                <w:szCs w:val="1"/>
                <w:color w:val="auto"/>
              </w:rPr>
            </w:pPr>
          </w:p>
        </w:tc>
      </w:tr>
      <w:tr>
        <w:trPr>
          <w:trHeight w:val="257"/>
        </w:trPr>
        <w:tc>
          <w:tcPr>
            <w:tcW w:w="50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Cumulative dividends attributable to Series A Preferred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Stock . . . . . . . . . . . . . . . . . . . . . . . . . . . . . . . . . . . . . . . .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(2,774)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attributable to SoundHound common shareholders .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(91,711)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(116,713)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(79,540)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gains on investments . . . . . . . . . . . . . . . . . . . . . .</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Comprehensive loss . . . . . . . . . . . .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(91,512)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(116,713)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(79,539)</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and diluted . . . . . . . . . . . . .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(0.74)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and diluted . . . . . . . . . . . . . . . . . . . . . . . . . . . . . . . . . .</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229,264,904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157,317,695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67,255,538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1" w:right="1440" w:bottom="348" w:gutter="0" w:footer="0" w:header="0"/>
          <w:type w:val="continuous"/>
        </w:sectPr>
      </w:pPr>
    </w:p>
    <w:bookmarkStart w:id="71" w:name="page72"/>
    <w:bookmarkEnd w:id="71"/>
    <w:p>
      <w:pPr>
        <w:jc w:val="center"/>
        <w:ind w:right="-347"/>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5"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19"/>
          <w:szCs w:val="19"/>
          <w:b w:val="1"/>
          <w:bCs w:val="1"/>
          <w:color w:val="auto"/>
        </w:rPr>
        <w:t>CONSOLIDATED STATEMENTS OF REDEEMABLE CONVERTIBLE PREFERRED STOCK AND</w:t>
      </w:r>
    </w:p>
    <w:p>
      <w:pPr>
        <w:spacing w:after="0" w:line="16"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20"/>
          <w:szCs w:val="20"/>
          <w:b w:val="1"/>
          <w:bCs w:val="1"/>
          <w:color w:val="auto"/>
        </w:rPr>
        <w:t>STOCKHOLDERS’ EQUITY (DEFICIT)</w:t>
      </w:r>
    </w:p>
    <w:p>
      <w:pPr>
        <w:jc w:val="center"/>
        <w:ind w:right="-347"/>
        <w:spacing w:after="0" w:line="235"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ectPr>
          <w:pgSz w:w="15840" w:h="12240" w:orient="landscape"/>
          <w:cols w:equalWidth="0" w:num="1">
            <w:col w:w="14128"/>
          </w:cols>
          <w:pgMar w:left="912" w:top="1394" w:right="8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66</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780" w:type="dxa"/>
            <w:vAlign w:val="bottom"/>
          </w:tcPr>
          <w:p>
            <w:pPr>
              <w:spacing w:after="0"/>
              <w:rPr>
                <w:sz w:val="15"/>
                <w:szCs w:val="15"/>
                <w:color w:val="auto"/>
              </w:rPr>
            </w:pPr>
          </w:p>
        </w:tc>
        <w:tc>
          <w:tcPr>
            <w:tcW w:w="1740" w:type="dxa"/>
            <w:vAlign w:val="bottom"/>
            <w:tcBorders>
              <w:right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Legacy SoundHound</w:t>
            </w:r>
          </w:p>
        </w:tc>
        <w:tc>
          <w:tcPr>
            <w:tcW w:w="1280" w:type="dxa"/>
            <w:vAlign w:val="bottom"/>
            <w:gridSpan w:val="4"/>
          </w:tcPr>
          <w:p>
            <w:pPr>
              <w:jc w:val="center"/>
              <w:ind w:left="101"/>
              <w:spacing w:after="0"/>
              <w:rPr>
                <w:sz w:val="20"/>
                <w:szCs w:val="20"/>
                <w:color w:val="auto"/>
              </w:rPr>
            </w:pPr>
            <w:r>
              <w:rPr>
                <w:rFonts w:ascii="Times New Roman" w:cs="Times New Roman" w:eastAsia="Times New Roman" w:hAnsi="Times New Roman"/>
                <w:sz w:val="15"/>
                <w:szCs w:val="15"/>
                <w:b w:val="1"/>
                <w:bCs w:val="1"/>
                <w:color w:val="auto"/>
              </w:rPr>
              <w:t>Legacy</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80" w:type="dxa"/>
            <w:vAlign w:val="bottom"/>
          </w:tcPr>
          <w:p>
            <w:pPr>
              <w:spacing w:after="0"/>
              <w:rPr>
                <w:sz w:val="14"/>
                <w:szCs w:val="14"/>
                <w:color w:val="auto"/>
              </w:rPr>
            </w:pPr>
          </w:p>
        </w:tc>
        <w:tc>
          <w:tcPr>
            <w:tcW w:w="1740" w:type="dxa"/>
            <w:vAlign w:val="bottom"/>
            <w:tcBorders>
              <w:right w:val="single" w:sz="8" w:color="auto"/>
            </w:tcBorders>
            <w:gridSpan w:val="6"/>
          </w:tcPr>
          <w:p>
            <w:pPr>
              <w:jc w:val="center"/>
              <w:ind w:right="180"/>
              <w:spacing w:after="0" w:line="167" w:lineRule="exact"/>
              <w:rPr>
                <w:sz w:val="20"/>
                <w:szCs w:val="20"/>
                <w:color w:val="auto"/>
              </w:rPr>
            </w:pPr>
            <w:r>
              <w:rPr>
                <w:rFonts w:ascii="Times New Roman" w:cs="Times New Roman" w:eastAsia="Times New Roman" w:hAnsi="Times New Roman"/>
                <w:sz w:val="15"/>
                <w:szCs w:val="15"/>
                <w:b w:val="1"/>
                <w:bCs w:val="1"/>
                <w:color w:val="auto"/>
                <w:w w:val="98"/>
              </w:rPr>
              <w:t>Redeemable Convertible</w:t>
            </w:r>
          </w:p>
        </w:tc>
        <w:tc>
          <w:tcPr>
            <w:tcW w:w="1280" w:type="dxa"/>
            <w:vAlign w:val="bottom"/>
            <w:gridSpan w:val="4"/>
          </w:tcPr>
          <w:p>
            <w:pPr>
              <w:jc w:val="center"/>
              <w:ind w:left="101"/>
              <w:spacing w:after="0" w:line="167" w:lineRule="exact"/>
              <w:rPr>
                <w:sz w:val="20"/>
                <w:szCs w:val="20"/>
                <w:color w:val="auto"/>
              </w:rPr>
            </w:pPr>
            <w:r>
              <w:rPr>
                <w:rFonts w:ascii="Times New Roman" w:cs="Times New Roman" w:eastAsia="Times New Roman" w:hAnsi="Times New Roman"/>
                <w:sz w:val="15"/>
                <w:szCs w:val="15"/>
                <w:b w:val="1"/>
                <w:bCs w:val="1"/>
                <w:color w:val="auto"/>
              </w:rPr>
              <w:t>SoundHound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185"/>
              <w:spacing w:after="0" w:line="168" w:lineRule="exact"/>
              <w:rPr>
                <w:sz w:val="20"/>
                <w:szCs w:val="20"/>
                <w:color w:val="auto"/>
              </w:rPr>
            </w:pPr>
            <w:r>
              <w:rPr>
                <w:rFonts w:ascii="Times New Roman" w:cs="Times New Roman" w:eastAsia="Times New Roman" w:hAnsi="Times New Roman"/>
                <w:sz w:val="15"/>
                <w:szCs w:val="15"/>
                <w:b w:val="1"/>
                <w:bCs w:val="1"/>
                <w:color w:val="auto"/>
              </w:rPr>
              <w:t>Series 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left="1"/>
              <w:spacing w:after="0" w:line="168" w:lineRule="exact"/>
              <w:rPr>
                <w:sz w:val="20"/>
                <w:szCs w:val="20"/>
                <w:color w:val="auto"/>
              </w:rPr>
            </w:pPr>
            <w:r>
              <w:rPr>
                <w:rFonts w:ascii="Times New Roman" w:cs="Times New Roman" w:eastAsia="Times New Roman" w:hAnsi="Times New Roman"/>
                <w:sz w:val="15"/>
                <w:szCs w:val="15"/>
                <w:b w:val="1"/>
                <w:bCs w:val="1"/>
                <w:color w:val="auto"/>
                <w:w w:val="98"/>
              </w:rPr>
              <w:t>Class 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ind w:right="245"/>
              <w:spacing w:after="0" w:line="16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00"/>
              <w:spacing w:after="0" w:line="170"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line="170"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1780" w:type="dxa"/>
            <w:vAlign w:val="bottom"/>
          </w:tcPr>
          <w:p>
            <w:pPr>
              <w:spacing w:after="0"/>
              <w:rPr>
                <w:sz w:val="15"/>
                <w:szCs w:val="15"/>
                <w:color w:val="auto"/>
              </w:rPr>
            </w:pPr>
          </w:p>
        </w:tc>
        <w:tc>
          <w:tcPr>
            <w:tcW w:w="1740" w:type="dxa"/>
            <w:vAlign w:val="bottom"/>
            <w:tcBorders>
              <w:right w:val="single" w:sz="8" w:color="auto"/>
            </w:tcBorders>
            <w:gridSpan w:val="6"/>
          </w:tcPr>
          <w:p>
            <w:pPr>
              <w:jc w:val="center"/>
              <w:ind w:right="180"/>
              <w:spacing w:after="0" w:line="167" w:lineRule="exact"/>
              <w:rPr>
                <w:sz w:val="20"/>
                <w:szCs w:val="20"/>
                <w:color w:val="auto"/>
              </w:rPr>
            </w:pPr>
            <w:r>
              <w:rPr>
                <w:rFonts w:ascii="Times New Roman" w:cs="Times New Roman" w:eastAsia="Times New Roman" w:hAnsi="Times New Roman"/>
                <w:sz w:val="15"/>
                <w:szCs w:val="15"/>
                <w:b w:val="1"/>
                <w:bCs w:val="1"/>
                <w:color w:val="auto"/>
                <w:w w:val="97"/>
              </w:rPr>
              <w:t>Preferred Stock</w:t>
            </w:r>
          </w:p>
        </w:tc>
        <w:tc>
          <w:tcPr>
            <w:tcW w:w="1280" w:type="dxa"/>
            <w:vAlign w:val="bottom"/>
            <w:gridSpan w:val="4"/>
          </w:tcPr>
          <w:p>
            <w:pPr>
              <w:jc w:val="center"/>
              <w:ind w:left="101"/>
              <w:spacing w:after="0" w:line="167" w:lineRule="exact"/>
              <w:rPr>
                <w:sz w:val="20"/>
                <w:szCs w:val="20"/>
                <w:color w:val="auto"/>
              </w:rPr>
            </w:pPr>
            <w:r>
              <w:rPr>
                <w:rFonts w:ascii="Times New Roman" w:cs="Times New Roman" w:eastAsia="Times New Roman" w:hAnsi="Times New Roman"/>
                <w:sz w:val="15"/>
                <w:szCs w:val="15"/>
                <w:b w:val="1"/>
                <w:bCs w:val="1"/>
                <w:color w:val="auto"/>
                <w:w w:val="99"/>
              </w:rPr>
              <w:t>Common Stock</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left="1"/>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3"/>
              </w:rPr>
              <w:t>Comprehensive</w:t>
            </w:r>
          </w:p>
        </w:tc>
        <w:tc>
          <w:tcPr>
            <w:tcW w:w="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7"/>
        </w:trPr>
        <w:tc>
          <w:tcPr>
            <w:tcW w:w="178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2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Borders>
              <w:right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24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180"/>
              <w:spacing w:after="0" w:line="158" w:lineRule="exact"/>
              <w:rPr>
                <w:sz w:val="20"/>
                <w:szCs w:val="20"/>
                <w:color w:val="auto"/>
              </w:rPr>
            </w:pPr>
            <w:r>
              <w:rPr>
                <w:rFonts w:ascii="Times New Roman" w:cs="Times New Roman" w:eastAsia="Times New Roman" w:hAnsi="Times New Roman"/>
                <w:sz w:val="15"/>
                <w:szCs w:val="15"/>
                <w:b w:val="1"/>
                <w:bCs w:val="1"/>
                <w:color w:val="auto"/>
                <w:w w:val="96"/>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22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3"/>
                <w:szCs w:val="13"/>
                <w:color w:val="auto"/>
              </w:rPr>
            </w:pPr>
          </w:p>
        </w:tc>
        <w:tc>
          <w:tcPr>
            <w:tcW w:w="10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5"/>
                <w:szCs w:val="15"/>
                <w:b w:val="1"/>
                <w:bCs w:val="1"/>
                <w:color w:val="auto"/>
                <w:w w:val="95"/>
              </w:rPr>
              <w:t>Loss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5"/>
                <w:szCs w:val="15"/>
                <w:b w:val="1"/>
                <w:bCs w:val="1"/>
                <w:color w:val="auto"/>
              </w:rPr>
              <w:t>Deficit</w:t>
            </w:r>
          </w:p>
        </w:tc>
        <w:tc>
          <w:tcPr>
            <w:tcW w:w="60" w:type="dxa"/>
            <w:vAlign w:val="bottom"/>
          </w:tcPr>
          <w:p>
            <w:pPr>
              <w:spacing w:after="0"/>
              <w:rPr>
                <w:sz w:val="13"/>
                <w:szCs w:val="13"/>
                <w:color w:val="auto"/>
              </w:rPr>
            </w:pPr>
          </w:p>
        </w:tc>
        <w:tc>
          <w:tcPr>
            <w:tcW w:w="70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187"/>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December 31, 2020 </w:t>
            </w:r>
            <w:r>
              <w:rPr>
                <w:rFonts w:ascii="Times New Roman" w:cs="Times New Roman" w:eastAsia="Times New Roman" w:hAnsi="Times New Roman"/>
                <w:sz w:val="16"/>
                <w:szCs w:val="16"/>
                <w:color w:val="auto"/>
              </w:rPr>
              <w:t>. .</w:t>
            </w: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19,132,387</w:t>
            </w:r>
          </w:p>
        </w:tc>
        <w:tc>
          <w:tcPr>
            <w:tcW w:w="60" w:type="dxa"/>
            <w:vAlign w:val="bottom"/>
          </w:tcPr>
          <w:p>
            <w:pPr>
              <w:spacing w:after="0"/>
              <w:rPr>
                <w:sz w:val="16"/>
                <w:szCs w:val="16"/>
                <w:color w:val="auto"/>
              </w:rPr>
            </w:pP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gridSpan w:val="2"/>
          </w:tcPr>
          <w:p>
            <w:pPr>
              <w:jc w:val="right"/>
              <w:ind w:right="140"/>
              <w:spacing w:after="0" w:line="177" w:lineRule="exact"/>
              <w:rPr>
                <w:sz w:val="20"/>
                <w:szCs w:val="20"/>
                <w:color w:val="auto"/>
              </w:rPr>
            </w:pPr>
            <w:r>
              <w:rPr>
                <w:rFonts w:ascii="Times New Roman" w:cs="Times New Roman" w:eastAsia="Times New Roman" w:hAnsi="Times New Roman"/>
                <w:sz w:val="16"/>
                <w:szCs w:val="16"/>
                <w:color w:val="auto"/>
                <w:w w:val="99"/>
              </w:rPr>
              <w:t>273,687</w:t>
            </w:r>
          </w:p>
        </w:tc>
        <w:tc>
          <w:tcPr>
            <w:tcW w:w="7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11,818,761</w:t>
            </w:r>
          </w:p>
        </w:tc>
        <w:tc>
          <w:tcPr>
            <w:tcW w:w="60" w:type="dxa"/>
            <w:vAlign w:val="bottom"/>
          </w:tcPr>
          <w:p>
            <w:pPr>
              <w:spacing w:after="0"/>
              <w:rPr>
                <w:sz w:val="16"/>
                <w:szCs w:val="16"/>
                <w:color w:val="auto"/>
              </w:rPr>
            </w:pPr>
          </w:p>
        </w:tc>
        <w:tc>
          <w:tcPr>
            <w:tcW w:w="460" w:type="dxa"/>
            <w:vAlign w:val="bottom"/>
            <w:gridSpan w:val="2"/>
          </w:tcPr>
          <w:p>
            <w:pPr>
              <w:jc w:val="right"/>
              <w:ind w:right="245"/>
              <w:spacing w:after="0" w:line="177"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6"/>
                <w:szCs w:val="16"/>
                <w:color w:val="auto"/>
              </w:rPr>
            </w:pPr>
          </w:p>
        </w:tc>
        <w:tc>
          <w:tcPr>
            <w:tcW w:w="500" w:type="dxa"/>
            <w:vAlign w:val="bottom"/>
            <w:gridSpan w:val="2"/>
          </w:tcPr>
          <w:p>
            <w:pPr>
              <w:jc w:val="right"/>
              <w:ind w:right="285"/>
              <w:spacing w:after="0" w:line="177"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60"/>
              <w:spacing w:after="0" w:line="177"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7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6"/>
                <w:szCs w:val="16"/>
                <w:color w:val="auto"/>
              </w:rPr>
            </w:pPr>
          </w:p>
        </w:tc>
        <w:tc>
          <w:tcPr>
            <w:tcW w:w="440" w:type="dxa"/>
            <w:vAlign w:val="bottom"/>
            <w:gridSpan w:val="2"/>
          </w:tcPr>
          <w:p>
            <w:pPr>
              <w:jc w:val="right"/>
              <w:ind w:right="225"/>
              <w:spacing w:after="0" w:line="177"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ind w:lef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6"/>
                <w:szCs w:val="16"/>
                <w:color w:val="auto"/>
              </w:rPr>
            </w:pPr>
          </w:p>
        </w:tc>
        <w:tc>
          <w:tcPr>
            <w:tcW w:w="480" w:type="dxa"/>
            <w:vAlign w:val="bottom"/>
            <w:gridSpan w:val="2"/>
          </w:tcPr>
          <w:p>
            <w:pPr>
              <w:jc w:val="right"/>
              <w:ind w:right="265"/>
              <w:spacing w:after="0" w:line="177"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30,836</w:t>
            </w:r>
          </w:p>
        </w:tc>
        <w:tc>
          <w:tcPr>
            <w:tcW w:w="80" w:type="dxa"/>
            <w:vAlign w:val="bottom"/>
          </w:tcPr>
          <w:p>
            <w:pPr>
              <w:spacing w:after="0"/>
              <w:rPr>
                <w:sz w:val="16"/>
                <w:szCs w:val="16"/>
                <w:color w:val="auto"/>
              </w:rPr>
            </w:pPr>
          </w:p>
        </w:tc>
        <w:tc>
          <w:tcPr>
            <w:tcW w:w="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tcPr>
          <w:p>
            <w:pPr>
              <w:jc w:val="right"/>
              <w:ind w:right="25"/>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(307,189)</w:t>
            </w:r>
          </w:p>
        </w:tc>
        <w:tc>
          <w:tcPr>
            <w:tcW w:w="7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 (276,353)</w:t>
            </w:r>
          </w:p>
        </w:tc>
      </w:tr>
      <w:tr>
        <w:trPr>
          <w:trHeight w:val="22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Retroactive application</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of Business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266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Combination . . . . . . . .   87,171,583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53,849,015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5"/>
                <w:szCs w:val="15"/>
                <w:color w:val="auto"/>
              </w:rPr>
            </w:pPr>
          </w:p>
        </w:tc>
        <w:tc>
          <w:tcPr>
            <w:tcW w:w="760" w:type="dxa"/>
            <w:vAlign w:val="bottom"/>
            <w:gridSpan w:val="2"/>
          </w:tcPr>
          <w:p>
            <w:pPr>
              <w:jc w:val="center"/>
              <w:ind w:left="4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6"/>
        </w:trPr>
        <w:tc>
          <w:tcPr>
            <w:tcW w:w="1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Balances,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2"/>
        </w:trPr>
        <w:tc>
          <w:tcPr>
            <w:tcW w:w="178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period </w:t>
            </w:r>
            <w:r>
              <w:rPr>
                <w:rFonts w:ascii="Times New Roman" w:cs="Times New Roman" w:eastAsia="Times New Roman" w:hAnsi="Times New Roman"/>
                <w:sz w:val="16"/>
                <w:szCs w:val="16"/>
                <w:color w:val="auto"/>
              </w:rPr>
              <w:t>. . . . . . . . . . . .</w:t>
            </w: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106,303,970</w:t>
            </w:r>
          </w:p>
        </w:tc>
        <w:tc>
          <w:tcPr>
            <w:tcW w:w="60" w:type="dxa"/>
            <w:vAlign w:val="bottom"/>
          </w:tcPr>
          <w:p>
            <w:pPr>
              <w:spacing w:after="0"/>
              <w:rPr>
                <w:sz w:val="16"/>
                <w:szCs w:val="16"/>
                <w:color w:val="auto"/>
              </w:rPr>
            </w:pP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gridSpan w:val="2"/>
          </w:tcPr>
          <w:p>
            <w:pPr>
              <w:jc w:val="right"/>
              <w:ind w:right="140"/>
              <w:spacing w:after="0" w:line="177" w:lineRule="exact"/>
              <w:rPr>
                <w:sz w:val="20"/>
                <w:szCs w:val="20"/>
                <w:color w:val="auto"/>
              </w:rPr>
            </w:pPr>
            <w:r>
              <w:rPr>
                <w:rFonts w:ascii="Times New Roman" w:cs="Times New Roman" w:eastAsia="Times New Roman" w:hAnsi="Times New Roman"/>
                <w:sz w:val="16"/>
                <w:szCs w:val="16"/>
                <w:color w:val="auto"/>
                <w:w w:val="99"/>
              </w:rPr>
              <w:t>273,687</w:t>
            </w:r>
          </w:p>
        </w:tc>
        <w:tc>
          <w:tcPr>
            <w:tcW w:w="7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65,667,776</w:t>
            </w:r>
          </w:p>
        </w:tc>
        <w:tc>
          <w:tcPr>
            <w:tcW w:w="60" w:type="dxa"/>
            <w:vAlign w:val="bottom"/>
          </w:tcPr>
          <w:p>
            <w:pPr>
              <w:spacing w:after="0"/>
              <w:rPr>
                <w:sz w:val="16"/>
                <w:szCs w:val="16"/>
                <w:color w:val="auto"/>
              </w:rPr>
            </w:pPr>
          </w:p>
        </w:tc>
        <w:tc>
          <w:tcPr>
            <w:tcW w:w="460" w:type="dxa"/>
            <w:vAlign w:val="bottom"/>
            <w:gridSpan w:val="2"/>
          </w:tcPr>
          <w:p>
            <w:pPr>
              <w:jc w:val="right"/>
              <w:ind w:right="245"/>
              <w:spacing w:after="0" w:line="177"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85"/>
              <w:spacing w:after="0" w:line="177"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60"/>
              <w:spacing w:after="0" w:line="177"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760" w:type="dxa"/>
            <w:vAlign w:val="bottom"/>
            <w:gridSpan w:val="2"/>
          </w:tcPr>
          <w:p>
            <w:pPr>
              <w:jc w:val="center"/>
              <w:ind w:left="40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225"/>
              <w:spacing w:after="0" w:line="177"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ind w:lef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65"/>
              <w:spacing w:after="0" w:line="177"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30,836</w:t>
            </w:r>
          </w:p>
        </w:tc>
        <w:tc>
          <w:tcPr>
            <w:tcW w:w="80" w:type="dxa"/>
            <w:vAlign w:val="bottom"/>
          </w:tcPr>
          <w:p>
            <w:pPr>
              <w:spacing w:after="0"/>
              <w:rPr>
                <w:sz w:val="16"/>
                <w:szCs w:val="16"/>
                <w:color w:val="auto"/>
              </w:rPr>
            </w:pPr>
          </w:p>
        </w:tc>
        <w:tc>
          <w:tcPr>
            <w:tcW w:w="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tcPr>
          <w:p>
            <w:pPr>
              <w:jc w:val="right"/>
              <w:ind w:right="25"/>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(307,189)</w:t>
            </w:r>
          </w:p>
        </w:tc>
        <w:tc>
          <w:tcPr>
            <w:tcW w:w="7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 (276,353)</w:t>
            </w:r>
          </w:p>
        </w:tc>
      </w:tr>
      <w:tr>
        <w:trPr>
          <w:trHeight w:val="22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upon exercise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options . . . . . . .</w:t>
            </w: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2,590,780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5"/>
                <w:szCs w:val="15"/>
                <w:color w:val="auto"/>
              </w:rPr>
            </w:pPr>
          </w:p>
        </w:tc>
        <w:tc>
          <w:tcPr>
            <w:tcW w:w="760" w:type="dxa"/>
            <w:vAlign w:val="bottom"/>
            <w:gridSpan w:val="2"/>
          </w:tcPr>
          <w:p>
            <w:pPr>
              <w:jc w:val="center"/>
              <w:ind w:left="4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2,490</w:t>
            </w:r>
          </w:p>
        </w:tc>
        <w:tc>
          <w:tcPr>
            <w:tcW w:w="14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2,490</w:t>
            </w:r>
          </w:p>
        </w:tc>
        <w:tc>
          <w:tcPr>
            <w:tcW w:w="60" w:type="dxa"/>
            <w:vAlign w:val="bottom"/>
          </w:tcPr>
          <w:p>
            <w:pPr>
              <w:spacing w:after="0"/>
              <w:rPr>
                <w:sz w:val="15"/>
                <w:szCs w:val="15"/>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warrants . . . . . .</w:t>
            </w: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5"/>
                <w:szCs w:val="15"/>
                <w:color w:val="auto"/>
              </w:rPr>
            </w:pPr>
          </w:p>
        </w:tc>
        <w:tc>
          <w:tcPr>
            <w:tcW w:w="760" w:type="dxa"/>
            <w:vAlign w:val="bottom"/>
            <w:gridSpan w:val="2"/>
          </w:tcPr>
          <w:p>
            <w:pPr>
              <w:jc w:val="center"/>
              <w:ind w:left="4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3,843</w:t>
            </w:r>
          </w:p>
        </w:tc>
        <w:tc>
          <w:tcPr>
            <w:tcW w:w="60" w:type="dxa"/>
            <w:vAlign w:val="bottom"/>
          </w:tcPr>
          <w:p>
            <w:pPr>
              <w:spacing w:after="0"/>
              <w:rPr>
                <w:sz w:val="15"/>
                <w:szCs w:val="15"/>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gain, net of tax . . . . . .</w:t>
            </w: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5"/>
                <w:szCs w:val="15"/>
                <w:color w:val="auto"/>
              </w:rPr>
            </w:pPr>
          </w:p>
        </w:tc>
        <w:tc>
          <w:tcPr>
            <w:tcW w:w="760" w:type="dxa"/>
            <w:vAlign w:val="bottom"/>
            <w:gridSpan w:val="2"/>
          </w:tcPr>
          <w:p>
            <w:pPr>
              <w:jc w:val="center"/>
              <w:ind w:left="4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5"/>
                <w:szCs w:val="15"/>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compensation . . . . . . .</w:t>
            </w: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5"/>
                <w:szCs w:val="15"/>
                <w:color w:val="auto"/>
              </w:rPr>
            </w:pPr>
          </w:p>
        </w:tc>
        <w:tc>
          <w:tcPr>
            <w:tcW w:w="760" w:type="dxa"/>
            <w:vAlign w:val="bottom"/>
            <w:gridSpan w:val="2"/>
          </w:tcPr>
          <w:p>
            <w:pPr>
              <w:jc w:val="center"/>
              <w:ind w:left="4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6,322</w:t>
            </w:r>
          </w:p>
        </w:tc>
        <w:tc>
          <w:tcPr>
            <w:tcW w:w="60" w:type="dxa"/>
            <w:vAlign w:val="bottom"/>
          </w:tcPr>
          <w:p>
            <w:pPr>
              <w:spacing w:after="0"/>
              <w:rPr>
                <w:sz w:val="15"/>
                <w:szCs w:val="15"/>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redeemable</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convertible Series C</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preferred stock</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upon net exercise of</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7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Series C Warrants . . . .</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645,356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5,816</w:t>
            </w:r>
          </w:p>
        </w:tc>
        <w:tc>
          <w:tcPr>
            <w:tcW w:w="160" w:type="dxa"/>
            <w:vAlign w:val="bottom"/>
            <w:tcBorders>
              <w:right w:val="single" w:sz="8" w:color="auto"/>
            </w:tcBorders>
          </w:tcPr>
          <w:p>
            <w:pPr>
              <w:spacing w:after="0"/>
              <w:rPr>
                <w:sz w:val="15"/>
                <w:szCs w:val="15"/>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5"/>
                <w:szCs w:val="15"/>
                <w:color w:val="auto"/>
              </w:rPr>
            </w:pPr>
          </w:p>
        </w:tc>
        <w:tc>
          <w:tcPr>
            <w:tcW w:w="760" w:type="dxa"/>
            <w:vAlign w:val="bottom"/>
            <w:gridSpan w:val="2"/>
          </w:tcPr>
          <w:p>
            <w:pPr>
              <w:jc w:val="center"/>
              <w:ind w:left="4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Net loss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0"/>
                <w:szCs w:val="20"/>
                <w:color w:val="auto"/>
              </w:rPr>
            </w:pPr>
          </w:p>
        </w:tc>
        <w:tc>
          <w:tcPr>
            <w:tcW w:w="760" w:type="dxa"/>
            <w:vAlign w:val="bottom"/>
            <w:gridSpan w:val="2"/>
          </w:tcPr>
          <w:p>
            <w:pPr>
              <w:jc w:val="center"/>
              <w:ind w:left="40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(79,540)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(79,540)</w:t>
            </w:r>
          </w:p>
        </w:tc>
      </w:tr>
      <w:tr>
        <w:trPr>
          <w:trHeight w:val="26"/>
        </w:trPr>
        <w:tc>
          <w:tcPr>
            <w:tcW w:w="1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December 31, 2021 </w:t>
            </w:r>
            <w:r>
              <w:rPr>
                <w:rFonts w:ascii="Times New Roman" w:cs="Times New Roman" w:eastAsia="Times New Roman" w:hAnsi="Times New Roman"/>
                <w:sz w:val="16"/>
                <w:szCs w:val="16"/>
                <w:color w:val="auto"/>
              </w:rPr>
              <w:t>. .</w:t>
            </w:r>
          </w:p>
        </w:tc>
        <w:tc>
          <w:tcPr>
            <w:tcW w:w="88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w w:val="99"/>
              </w:rPr>
              <w:t>106,949,326</w:t>
            </w: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gridSpan w:val="2"/>
          </w:tcPr>
          <w:p>
            <w:pPr>
              <w:jc w:val="right"/>
              <w:ind w:right="140"/>
              <w:spacing w:after="0" w:line="177" w:lineRule="exact"/>
              <w:rPr>
                <w:sz w:val="20"/>
                <w:szCs w:val="20"/>
                <w:color w:val="auto"/>
              </w:rPr>
            </w:pPr>
            <w:r>
              <w:rPr>
                <w:rFonts w:ascii="Times New Roman" w:cs="Times New Roman" w:eastAsia="Times New Roman" w:hAnsi="Times New Roman"/>
                <w:sz w:val="16"/>
                <w:szCs w:val="16"/>
                <w:color w:val="auto"/>
                <w:w w:val="99"/>
              </w:rPr>
              <w:t>279,503</w:t>
            </w:r>
          </w:p>
        </w:tc>
        <w:tc>
          <w:tcPr>
            <w:tcW w:w="82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68,258,556</w:t>
            </w:r>
          </w:p>
        </w:tc>
        <w:tc>
          <w:tcPr>
            <w:tcW w:w="460" w:type="dxa"/>
            <w:vAlign w:val="bottom"/>
            <w:gridSpan w:val="2"/>
          </w:tcPr>
          <w:p>
            <w:pPr>
              <w:jc w:val="right"/>
              <w:ind w:right="245"/>
              <w:spacing w:after="0" w:line="177"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60"/>
              <w:spacing w:after="0" w:line="177"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tcPr>
          <w:p>
            <w:pPr>
              <w:jc w:val="right"/>
              <w:ind w:right="160"/>
              <w:spacing w:after="0" w:line="177" w:lineRule="exact"/>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center"/>
              <w:ind w:left="40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225"/>
              <w:spacing w:after="0" w:line="177"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ind w:left="60"/>
              <w:spacing w:after="0" w:line="177" w:lineRule="exact"/>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65"/>
              <w:spacing w:after="0" w:line="177"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43,491</w:t>
            </w:r>
          </w:p>
        </w:tc>
        <w:tc>
          <w:tcPr>
            <w:tcW w:w="80" w:type="dxa"/>
            <w:vAlign w:val="bottom"/>
          </w:tcPr>
          <w:p>
            <w:pPr>
              <w:spacing w:after="0"/>
              <w:rPr>
                <w:sz w:val="17"/>
                <w:szCs w:val="17"/>
                <w:color w:val="auto"/>
              </w:rPr>
            </w:pPr>
          </w:p>
        </w:tc>
        <w:tc>
          <w:tcPr>
            <w:tcW w:w="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line="177"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5"/>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(386,729)</w:t>
            </w:r>
          </w:p>
        </w:tc>
        <w:tc>
          <w:tcPr>
            <w:tcW w:w="7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 (343,237)</w:t>
            </w: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5840" w:h="12240" w:orient="landscape"/>
          <w:cols w:equalWidth="0" w:num="2">
            <w:col w:w="230" w:space="78"/>
            <w:col w:w="13820"/>
          </w:cols>
          <w:pgMar w:left="912" w:top="1394" w:right="800"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67</w:t>
            </w:r>
          </w:p>
        </w:tc>
      </w:tr>
    </w:tbl>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STATEMENTS OF REDEEMABLE CONVERTIBLE PREFERRED STOCK AND</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STOCKHOLDERS’ EQUITY (DEFICIT) — Continued</w:t>
      </w:r>
    </w:p>
    <w:p>
      <w:pPr>
        <w:jc w:val="center"/>
        <w:ind w:right="-79"/>
        <w:spacing w:after="0" w:line="235"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right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Legacy SoundHound</w:t>
            </w:r>
          </w:p>
        </w:tc>
        <w:tc>
          <w:tcPr>
            <w:tcW w:w="40" w:type="dxa"/>
            <w:vAlign w:val="bottom"/>
          </w:tcPr>
          <w:p>
            <w:pPr>
              <w:spacing w:after="0"/>
              <w:rPr>
                <w:sz w:val="15"/>
                <w:szCs w:val="15"/>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Legacy</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right w:val="single" w:sz="8" w:color="auto"/>
            </w:tcBorders>
            <w:gridSpan w:val="4"/>
          </w:tcPr>
          <w:p>
            <w:pPr>
              <w:jc w:val="center"/>
              <w:ind w:right="140"/>
              <w:spacing w:after="0" w:line="167" w:lineRule="exact"/>
              <w:rPr>
                <w:sz w:val="20"/>
                <w:szCs w:val="20"/>
                <w:color w:val="auto"/>
              </w:rPr>
            </w:pPr>
            <w:r>
              <w:rPr>
                <w:rFonts w:ascii="Times New Roman" w:cs="Times New Roman" w:eastAsia="Times New Roman" w:hAnsi="Times New Roman"/>
                <w:sz w:val="15"/>
                <w:szCs w:val="15"/>
                <w:b w:val="1"/>
                <w:bCs w:val="1"/>
                <w:color w:val="auto"/>
                <w:w w:val="98"/>
              </w:rPr>
              <w:t>Redeemable Convertible</w:t>
            </w:r>
          </w:p>
        </w:tc>
        <w:tc>
          <w:tcPr>
            <w:tcW w:w="40" w:type="dxa"/>
            <w:vAlign w:val="bottom"/>
          </w:tcPr>
          <w:p>
            <w:pPr>
              <w:spacing w:after="0"/>
              <w:rPr>
                <w:sz w:val="14"/>
                <w:szCs w:val="14"/>
                <w:color w:val="auto"/>
              </w:rPr>
            </w:pPr>
          </w:p>
        </w:tc>
        <w:tc>
          <w:tcPr>
            <w:tcW w:w="1640" w:type="dxa"/>
            <w:vAlign w:val="bottom"/>
            <w:gridSpan w:val="4"/>
          </w:tcPr>
          <w:p>
            <w:pPr>
              <w:jc w:val="center"/>
              <w:ind w:right="180"/>
              <w:spacing w:after="0" w:line="167" w:lineRule="exact"/>
              <w:rPr>
                <w:sz w:val="20"/>
                <w:szCs w:val="20"/>
                <w:color w:val="auto"/>
              </w:rPr>
            </w:pPr>
            <w:r>
              <w:rPr>
                <w:rFonts w:ascii="Times New Roman" w:cs="Times New Roman" w:eastAsia="Times New Roman" w:hAnsi="Times New Roman"/>
                <w:sz w:val="15"/>
                <w:szCs w:val="15"/>
                <w:b w:val="1"/>
                <w:bCs w:val="1"/>
                <w:color w:val="auto"/>
              </w:rPr>
              <w:t>SoundHound</w:t>
            </w:r>
          </w:p>
        </w:tc>
        <w:tc>
          <w:tcPr>
            <w:tcW w:w="1520" w:type="dxa"/>
            <w:vAlign w:val="bottom"/>
            <w:gridSpan w:val="4"/>
          </w:tcPr>
          <w:p>
            <w:pPr>
              <w:jc w:val="center"/>
              <w:ind w:right="180"/>
              <w:spacing w:after="0" w:line="168" w:lineRule="exact"/>
              <w:rPr>
                <w:sz w:val="20"/>
                <w:szCs w:val="20"/>
                <w:color w:val="auto"/>
              </w:rPr>
            </w:pPr>
            <w:r>
              <w:rPr>
                <w:rFonts w:ascii="Times New Roman" w:cs="Times New Roman" w:eastAsia="Times New Roman" w:hAnsi="Times New Roman"/>
                <w:sz w:val="15"/>
                <w:szCs w:val="15"/>
                <w:b w:val="1"/>
                <w:bCs w:val="1"/>
                <w:color w:val="auto"/>
              </w:rPr>
              <w:t>Series A</w:t>
            </w:r>
          </w:p>
        </w:tc>
        <w:tc>
          <w:tcPr>
            <w:tcW w:w="1700" w:type="dxa"/>
            <w:vAlign w:val="bottom"/>
            <w:gridSpan w:val="4"/>
          </w:tcPr>
          <w:p>
            <w:pPr>
              <w:jc w:val="right"/>
              <w:ind w:right="700"/>
              <w:spacing w:after="0" w:line="168"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640" w:type="dxa"/>
            <w:vAlign w:val="bottom"/>
            <w:gridSpan w:val="4"/>
          </w:tcPr>
          <w:p>
            <w:pPr>
              <w:jc w:val="right"/>
              <w:ind w:right="680"/>
              <w:spacing w:after="0" w:line="16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880" w:type="dxa"/>
            <w:vAlign w:val="bottom"/>
            <w:gridSpan w:val="2"/>
          </w:tcPr>
          <w:p>
            <w:pPr>
              <w:jc w:val="right"/>
              <w:ind w:right="180"/>
              <w:spacing w:after="0" w:line="170"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180" w:type="dxa"/>
            <w:vAlign w:val="bottom"/>
            <w:gridSpan w:val="2"/>
          </w:tcPr>
          <w:p>
            <w:pPr>
              <w:jc w:val="center"/>
              <w:ind w:right="200"/>
              <w:spacing w:after="0" w:line="170"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right w:val="single" w:sz="8" w:color="auto"/>
            </w:tcBorders>
            <w:gridSpan w:val="4"/>
          </w:tcPr>
          <w:p>
            <w:pPr>
              <w:jc w:val="center"/>
              <w:ind w:right="140"/>
              <w:spacing w:after="0" w:line="167" w:lineRule="exact"/>
              <w:rPr>
                <w:sz w:val="20"/>
                <w:szCs w:val="20"/>
                <w:color w:val="auto"/>
              </w:rPr>
            </w:pPr>
            <w:r>
              <w:rPr>
                <w:rFonts w:ascii="Times New Roman" w:cs="Times New Roman" w:eastAsia="Times New Roman" w:hAnsi="Times New Roman"/>
                <w:sz w:val="15"/>
                <w:szCs w:val="15"/>
                <w:b w:val="1"/>
                <w:bCs w:val="1"/>
                <w:color w:val="auto"/>
                <w:w w:val="97"/>
              </w:rPr>
              <w:t>Preferred Stock</w:t>
            </w:r>
          </w:p>
        </w:tc>
        <w:tc>
          <w:tcPr>
            <w:tcW w:w="40" w:type="dxa"/>
            <w:vAlign w:val="bottom"/>
          </w:tcPr>
          <w:p>
            <w:pPr>
              <w:spacing w:after="0"/>
              <w:rPr>
                <w:sz w:val="15"/>
                <w:szCs w:val="15"/>
                <w:color w:val="auto"/>
              </w:rPr>
            </w:pPr>
          </w:p>
        </w:tc>
        <w:tc>
          <w:tcPr>
            <w:tcW w:w="1640" w:type="dxa"/>
            <w:vAlign w:val="bottom"/>
            <w:gridSpan w:val="4"/>
          </w:tcPr>
          <w:p>
            <w:pPr>
              <w:jc w:val="center"/>
              <w:ind w:right="180"/>
              <w:spacing w:after="0" w:line="167" w:lineRule="exact"/>
              <w:rPr>
                <w:sz w:val="20"/>
                <w:szCs w:val="20"/>
                <w:color w:val="auto"/>
              </w:rPr>
            </w:pPr>
            <w:r>
              <w:rPr>
                <w:rFonts w:ascii="Times New Roman" w:cs="Times New Roman" w:eastAsia="Times New Roman" w:hAnsi="Times New Roman"/>
                <w:sz w:val="15"/>
                <w:szCs w:val="15"/>
                <w:b w:val="1"/>
                <w:bCs w:val="1"/>
                <w:color w:val="auto"/>
                <w:w w:val="99"/>
              </w:rPr>
              <w:t>Common Stock</w:t>
            </w:r>
          </w:p>
        </w:tc>
        <w:tc>
          <w:tcPr>
            <w:tcW w:w="1520" w:type="dxa"/>
            <w:vAlign w:val="bottom"/>
            <w:gridSpan w:val="4"/>
          </w:tcPr>
          <w:p>
            <w:pPr>
              <w:jc w:val="center"/>
              <w:ind w:right="180"/>
              <w:spacing w:after="0" w:line="168" w:lineRule="exact"/>
              <w:rPr>
                <w:sz w:val="20"/>
                <w:szCs w:val="20"/>
                <w:color w:val="auto"/>
              </w:rPr>
            </w:pPr>
            <w:r>
              <w:rPr>
                <w:rFonts w:ascii="Times New Roman" w:cs="Times New Roman" w:eastAsia="Times New Roman" w:hAnsi="Times New Roman"/>
                <w:sz w:val="15"/>
                <w:szCs w:val="15"/>
                <w:b w:val="1"/>
                <w:bCs w:val="1"/>
                <w:color w:val="auto"/>
                <w:w w:val="99"/>
              </w:rPr>
              <w:t>Preferred Stock</w:t>
            </w:r>
          </w:p>
        </w:tc>
        <w:tc>
          <w:tcPr>
            <w:tcW w:w="1700" w:type="dxa"/>
            <w:vAlign w:val="bottom"/>
            <w:gridSpan w:val="4"/>
          </w:tcPr>
          <w:p>
            <w:pPr>
              <w:jc w:val="right"/>
              <w:ind w:right="440"/>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640" w:type="dxa"/>
            <w:vAlign w:val="bottom"/>
            <w:gridSpan w:val="4"/>
          </w:tcPr>
          <w:p>
            <w:pPr>
              <w:jc w:val="right"/>
              <w:ind w:right="420"/>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8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34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80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2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88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18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5"/>
                <w:szCs w:val="15"/>
                <w:b w:val="1"/>
                <w:bCs w:val="1"/>
                <w:color w:val="auto"/>
                <w:w w:val="95"/>
              </w:rPr>
              <w:t>Loss</w:t>
            </w:r>
          </w:p>
        </w:tc>
        <w:tc>
          <w:tcPr>
            <w:tcW w:w="1040" w:type="dxa"/>
            <w:vAlign w:val="bottom"/>
            <w:gridSpan w:val="2"/>
          </w:tcPr>
          <w:p>
            <w:pPr>
              <w:ind w:left="220"/>
              <w:spacing w:after="0" w:line="157" w:lineRule="exact"/>
              <w:rPr>
                <w:sz w:val="20"/>
                <w:szCs w:val="20"/>
                <w:color w:val="auto"/>
              </w:rPr>
            </w:pPr>
            <w:r>
              <w:rPr>
                <w:rFonts w:ascii="Times New Roman" w:cs="Times New Roman" w:eastAsia="Times New Roman" w:hAnsi="Times New Roman"/>
                <w:sz w:val="15"/>
                <w:szCs w:val="15"/>
                <w:b w:val="1"/>
                <w:bCs w:val="1"/>
                <w:color w:val="auto"/>
              </w:rPr>
              <w:t>Deficit</w:t>
            </w:r>
          </w:p>
        </w:tc>
        <w:tc>
          <w:tcPr>
            <w:tcW w:w="64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164"/>
        </w:trPr>
        <w:tc>
          <w:tcPr>
            <w:tcW w:w="1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common</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upon exercise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of stock options . . . .</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2,582,535</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2,840</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2,840</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Net exercise of</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warrants . . . . . . . . . .</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673,416</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convertible note . . . .</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2,046,827</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20,239</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20,239</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Effect of reverse</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recapitalization, net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of costs (Note 3) . . . .</w:t>
            </w:r>
          </w:p>
        </w:tc>
        <w:tc>
          <w:tcPr>
            <w:tcW w:w="10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(106,949,326)</w:t>
            </w:r>
          </w:p>
        </w:tc>
        <w:tc>
          <w:tcPr>
            <w:tcW w:w="720" w:type="dxa"/>
            <w:vAlign w:val="bottom"/>
            <w:tcBorders>
              <w:right w:val="single" w:sz="8" w:color="auto"/>
            </w:tcBorders>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(279,503)</w:t>
            </w:r>
          </w:p>
        </w:tc>
        <w:tc>
          <w:tcPr>
            <w:tcW w:w="9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(73,561,334)</w:t>
            </w:r>
          </w:p>
        </w:tc>
        <w:tc>
          <w:tcPr>
            <w:tcW w:w="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99"/>
              </w:rPr>
              <w:t>140,114,060</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99"/>
              </w:rPr>
              <w:t>40,396,600</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279,486</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279,503</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PIPE financing . . . . . . .</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11,300,000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86,584</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86,585</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pursuant to</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the Business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Combination . . . . . . .</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4,693,050</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4,105</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4,106</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common shares upon</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conversion of</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Class B common</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shares . . . . . . . . . . . .</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661,192</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(661,192)</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common shares upon</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exercise of stock</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options . . . . . . . . . . .</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1,013,171</w:t>
            </w: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1,320</w:t>
            </w:r>
          </w:p>
        </w:tc>
        <w:tc>
          <w:tcPr>
            <w:tcW w:w="118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1,320</w:t>
            </w:r>
          </w:p>
        </w:tc>
      </w:tr>
    </w:tbl>
    <w:p>
      <w:pPr>
        <w:sectPr>
          <w:pgSz w:w="15840" w:h="12240" w:orient="landscape"/>
          <w:cols w:equalWidth="0" w:num="2">
            <w:col w:w="230" w:space="98"/>
            <w:col w:w="13740"/>
          </w:cols>
          <w:pgMar w:left="912" w:top="1394" w:right="860" w:bottom="1440" w:gutter="0" w:footer="0" w:header="0"/>
        </w:sectPr>
      </w:pPr>
    </w:p>
    <w:bookmarkStart w:id="73" w:name="page74"/>
    <w:bookmarkEnd w:id="73"/>
    <w:p>
      <w:pPr>
        <w:jc w:val="center"/>
        <w:ind w:right="-387"/>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5" w:lineRule="exact"/>
        <w:rPr>
          <w:sz w:val="20"/>
          <w:szCs w:val="20"/>
          <w:color w:val="auto"/>
        </w:rPr>
      </w:pPr>
    </w:p>
    <w:p>
      <w:pPr>
        <w:jc w:val="center"/>
        <w:ind w:right="-387"/>
        <w:spacing w:after="0"/>
        <w:rPr>
          <w:sz w:val="20"/>
          <w:szCs w:val="20"/>
          <w:color w:val="auto"/>
        </w:rPr>
      </w:pPr>
      <w:r>
        <w:rPr>
          <w:rFonts w:ascii="Times New Roman" w:cs="Times New Roman" w:eastAsia="Times New Roman" w:hAnsi="Times New Roman"/>
          <w:sz w:val="19"/>
          <w:szCs w:val="19"/>
          <w:b w:val="1"/>
          <w:bCs w:val="1"/>
          <w:color w:val="auto"/>
        </w:rPr>
        <w:t>CONSOLIDATED STATEMENTS OF REDEEMABLE CONVERTIBLE PREFERRED STOCK AND</w:t>
      </w:r>
    </w:p>
    <w:p>
      <w:pPr>
        <w:spacing w:after="0" w:line="16" w:lineRule="exact"/>
        <w:rPr>
          <w:sz w:val="20"/>
          <w:szCs w:val="20"/>
          <w:color w:val="auto"/>
        </w:rPr>
      </w:pPr>
    </w:p>
    <w:p>
      <w:pPr>
        <w:jc w:val="center"/>
        <w:ind w:right="-387"/>
        <w:spacing w:after="0"/>
        <w:rPr>
          <w:sz w:val="20"/>
          <w:szCs w:val="20"/>
          <w:color w:val="auto"/>
        </w:rPr>
      </w:pPr>
      <w:r>
        <w:rPr>
          <w:rFonts w:ascii="Times New Roman" w:cs="Times New Roman" w:eastAsia="Times New Roman" w:hAnsi="Times New Roman"/>
          <w:sz w:val="20"/>
          <w:szCs w:val="20"/>
          <w:b w:val="1"/>
          <w:bCs w:val="1"/>
          <w:color w:val="auto"/>
        </w:rPr>
        <w:t>STOCKHOLDERS’ EQUITY (DEFICIT) — Continued</w:t>
      </w:r>
    </w:p>
    <w:p>
      <w:pPr>
        <w:jc w:val="center"/>
        <w:ind w:right="-387"/>
        <w:spacing w:after="0" w:line="235"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ectPr>
          <w:pgSz w:w="15840" w:h="12240" w:orient="landscape"/>
          <w:cols w:equalWidth="0" w:num="1">
            <w:col w:w="14088"/>
          </w:cols>
          <w:pgMar w:left="912" w:top="1394" w:right="8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68</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780" w:type="dxa"/>
            <w:vAlign w:val="bottom"/>
          </w:tcPr>
          <w:p>
            <w:pPr>
              <w:spacing w:after="0"/>
              <w:rPr>
                <w:sz w:val="15"/>
                <w:szCs w:val="15"/>
                <w:color w:val="auto"/>
              </w:rPr>
            </w:pPr>
          </w:p>
        </w:tc>
        <w:tc>
          <w:tcPr>
            <w:tcW w:w="1700" w:type="dxa"/>
            <w:vAlign w:val="bottom"/>
            <w:tcBorders>
              <w:right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Legacy SoundHound</w:t>
            </w:r>
          </w:p>
        </w:tc>
        <w:tc>
          <w:tcPr>
            <w:tcW w:w="40" w:type="dxa"/>
            <w:vAlign w:val="bottom"/>
          </w:tcPr>
          <w:p>
            <w:pPr>
              <w:spacing w:after="0"/>
              <w:rPr>
                <w:sz w:val="15"/>
                <w:szCs w:val="15"/>
                <w:color w:val="auto"/>
              </w:rPr>
            </w:pPr>
          </w:p>
        </w:tc>
        <w:tc>
          <w:tcPr>
            <w:tcW w:w="1640" w:type="dxa"/>
            <w:vAlign w:val="bottom"/>
            <w:gridSpan w:val="4"/>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Legacy</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700" w:type="dxa"/>
            <w:vAlign w:val="bottom"/>
            <w:tcBorders>
              <w:right w:val="single" w:sz="8" w:color="auto"/>
            </w:tcBorders>
            <w:gridSpan w:val="4"/>
          </w:tcPr>
          <w:p>
            <w:pPr>
              <w:jc w:val="right"/>
              <w:ind w:right="140"/>
              <w:spacing w:after="0" w:line="167" w:lineRule="exact"/>
              <w:rPr>
                <w:sz w:val="20"/>
                <w:szCs w:val="20"/>
                <w:color w:val="auto"/>
              </w:rPr>
            </w:pPr>
            <w:r>
              <w:rPr>
                <w:rFonts w:ascii="Times New Roman" w:cs="Times New Roman" w:eastAsia="Times New Roman" w:hAnsi="Times New Roman"/>
                <w:sz w:val="15"/>
                <w:szCs w:val="15"/>
                <w:b w:val="1"/>
                <w:bCs w:val="1"/>
                <w:color w:val="auto"/>
                <w:w w:val="97"/>
              </w:rPr>
              <w:t>Redeemable Convertible</w:t>
            </w:r>
          </w:p>
        </w:tc>
        <w:tc>
          <w:tcPr>
            <w:tcW w:w="40" w:type="dxa"/>
            <w:vAlign w:val="bottom"/>
          </w:tcPr>
          <w:p>
            <w:pPr>
              <w:spacing w:after="0"/>
              <w:rPr>
                <w:sz w:val="14"/>
                <w:szCs w:val="14"/>
                <w:color w:val="auto"/>
              </w:rPr>
            </w:pPr>
          </w:p>
        </w:tc>
        <w:tc>
          <w:tcPr>
            <w:tcW w:w="1640" w:type="dxa"/>
            <w:vAlign w:val="bottom"/>
            <w:gridSpan w:val="4"/>
          </w:tcPr>
          <w:p>
            <w:pPr>
              <w:jc w:val="center"/>
              <w:ind w:right="160"/>
              <w:spacing w:after="0" w:line="167" w:lineRule="exact"/>
              <w:rPr>
                <w:sz w:val="20"/>
                <w:szCs w:val="20"/>
                <w:color w:val="auto"/>
              </w:rPr>
            </w:pPr>
            <w:r>
              <w:rPr>
                <w:rFonts w:ascii="Times New Roman" w:cs="Times New Roman" w:eastAsia="Times New Roman" w:hAnsi="Times New Roman"/>
                <w:sz w:val="15"/>
                <w:szCs w:val="15"/>
                <w:b w:val="1"/>
                <w:bCs w:val="1"/>
                <w:color w:val="auto"/>
                <w:w w:val="98"/>
              </w:rPr>
              <w:t>SoundHound</w:t>
            </w:r>
          </w:p>
        </w:tc>
        <w:tc>
          <w:tcPr>
            <w:tcW w:w="1520" w:type="dxa"/>
            <w:vAlign w:val="bottom"/>
            <w:gridSpan w:val="4"/>
          </w:tcPr>
          <w:p>
            <w:pPr>
              <w:jc w:val="right"/>
              <w:ind w:right="580"/>
              <w:spacing w:after="0" w:line="168" w:lineRule="exact"/>
              <w:rPr>
                <w:sz w:val="20"/>
                <w:szCs w:val="20"/>
                <w:color w:val="auto"/>
              </w:rPr>
            </w:pPr>
            <w:r>
              <w:rPr>
                <w:rFonts w:ascii="Times New Roman" w:cs="Times New Roman" w:eastAsia="Times New Roman" w:hAnsi="Times New Roman"/>
                <w:sz w:val="15"/>
                <w:szCs w:val="15"/>
                <w:b w:val="1"/>
                <w:bCs w:val="1"/>
                <w:color w:val="auto"/>
              </w:rPr>
              <w:t>Series A</w:t>
            </w:r>
          </w:p>
        </w:tc>
        <w:tc>
          <w:tcPr>
            <w:tcW w:w="1700" w:type="dxa"/>
            <w:vAlign w:val="bottom"/>
            <w:gridSpan w:val="4"/>
          </w:tcPr>
          <w:p>
            <w:pPr>
              <w:jc w:val="right"/>
              <w:ind w:right="680"/>
              <w:spacing w:after="0" w:line="168"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640" w:type="dxa"/>
            <w:vAlign w:val="bottom"/>
            <w:gridSpan w:val="4"/>
          </w:tcPr>
          <w:p>
            <w:pPr>
              <w:jc w:val="right"/>
              <w:ind w:right="660"/>
              <w:spacing w:after="0" w:line="16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70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80" w:type="dxa"/>
            <w:vAlign w:val="bottom"/>
          </w:tcPr>
          <w:p>
            <w:pPr>
              <w:spacing w:after="0"/>
              <w:rPr>
                <w:sz w:val="14"/>
                <w:szCs w:val="14"/>
                <w:color w:val="auto"/>
              </w:rPr>
            </w:pPr>
          </w:p>
        </w:tc>
        <w:tc>
          <w:tcPr>
            <w:tcW w:w="10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700" w:type="dxa"/>
            <w:vAlign w:val="bottom"/>
            <w:tcBorders>
              <w:right w:val="single" w:sz="8" w:color="auto"/>
            </w:tcBorders>
            <w:gridSpan w:val="4"/>
          </w:tcPr>
          <w:p>
            <w:pPr>
              <w:jc w:val="right"/>
              <w:ind w:right="400"/>
              <w:spacing w:after="0" w:line="167"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40" w:type="dxa"/>
            <w:vAlign w:val="bottom"/>
          </w:tcPr>
          <w:p>
            <w:pPr>
              <w:spacing w:after="0"/>
              <w:rPr>
                <w:sz w:val="15"/>
                <w:szCs w:val="15"/>
                <w:color w:val="auto"/>
              </w:rPr>
            </w:pPr>
          </w:p>
        </w:tc>
        <w:tc>
          <w:tcPr>
            <w:tcW w:w="1640" w:type="dxa"/>
            <w:vAlign w:val="bottom"/>
            <w:gridSpan w:val="4"/>
          </w:tcPr>
          <w:p>
            <w:pPr>
              <w:jc w:val="center"/>
              <w:ind w:right="160"/>
              <w:spacing w:after="0" w:line="167"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520" w:type="dxa"/>
            <w:vAlign w:val="bottom"/>
            <w:gridSpan w:val="4"/>
          </w:tcPr>
          <w:p>
            <w:pPr>
              <w:jc w:val="right"/>
              <w:ind w:right="340"/>
              <w:spacing w:after="0" w:line="168"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700" w:type="dxa"/>
            <w:vAlign w:val="bottom"/>
            <w:gridSpan w:val="4"/>
          </w:tcPr>
          <w:p>
            <w:pPr>
              <w:jc w:val="right"/>
              <w:ind w:right="440"/>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640" w:type="dxa"/>
            <w:vAlign w:val="bottom"/>
            <w:gridSpan w:val="4"/>
          </w:tcPr>
          <w:p>
            <w:pPr>
              <w:jc w:val="right"/>
              <w:ind w:right="400"/>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98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b w:val="1"/>
                <w:bCs w:val="1"/>
                <w:color w:val="auto"/>
                <w:w w:val="95"/>
              </w:rPr>
              <w:t>Amount</w:t>
            </w:r>
          </w:p>
        </w:tc>
        <w:tc>
          <w:tcPr>
            <w:tcW w:w="18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2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3"/>
                <w:szCs w:val="13"/>
                <w:color w:val="auto"/>
              </w:rPr>
            </w:pPr>
          </w:p>
        </w:tc>
        <w:tc>
          <w:tcPr>
            <w:tcW w:w="700" w:type="dxa"/>
            <w:vAlign w:val="bottom"/>
          </w:tcPr>
          <w:p>
            <w:pPr>
              <w:jc w:val="right"/>
              <w:ind w:right="21"/>
              <w:spacing w:after="0" w:line="157"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5"/>
              </w:rPr>
              <w:t>Loss</w:t>
            </w: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7" w:lineRule="exact"/>
              <w:rPr>
                <w:sz w:val="20"/>
                <w:szCs w:val="20"/>
                <w:color w:val="auto"/>
              </w:rPr>
            </w:pPr>
            <w:r>
              <w:rPr>
                <w:rFonts w:ascii="Times New Roman" w:cs="Times New Roman" w:eastAsia="Times New Roman" w:hAnsi="Times New Roman"/>
                <w:sz w:val="15"/>
                <w:szCs w:val="15"/>
                <w:b w:val="1"/>
                <w:bCs w:val="1"/>
                <w:color w:val="auto"/>
              </w:rPr>
              <w:t>Deficit</w:t>
            </w:r>
          </w:p>
        </w:tc>
        <w:tc>
          <w:tcPr>
            <w:tcW w:w="640" w:type="dxa"/>
            <w:vAlign w:val="bottom"/>
            <w:gridSpan w:val="2"/>
          </w:tcPr>
          <w:p>
            <w:pPr>
              <w:jc w:val="right"/>
              <w:ind w:right="180"/>
              <w:spacing w:after="0" w:line="157"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upon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restricted</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units . . .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2,516,191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28,792</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Net loss . . . . . . . .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(116,713)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(116,713)</w:t>
            </w:r>
          </w:p>
        </w:tc>
        <w:tc>
          <w:tcPr>
            <w:tcW w:w="0" w:type="dxa"/>
            <w:vAlign w:val="bottom"/>
          </w:tcPr>
          <w:p>
            <w:pPr>
              <w:spacing w:after="0"/>
              <w:rPr>
                <w:sz w:val="1"/>
                <w:szCs w:val="1"/>
                <w:color w:val="auto"/>
              </w:rPr>
            </w:pPr>
          </w:p>
        </w:tc>
      </w:tr>
      <w:tr>
        <w:trPr>
          <w:trHeight w:val="26"/>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7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December 31, 2022 </w:t>
            </w:r>
            <w:r>
              <w:rPr>
                <w:rFonts w:ascii="Times New Roman" w:cs="Times New Roman" w:eastAsia="Times New Roman" w:hAnsi="Times New Roman"/>
                <w:sz w:val="16"/>
                <w:szCs w:val="16"/>
                <w:color w:val="auto"/>
              </w:rPr>
              <w:t>.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160,297,664</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39,735,408</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466,857</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(503,442)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$(36,565)</w:t>
            </w:r>
          </w:p>
        </w:tc>
        <w:tc>
          <w:tcPr>
            <w:tcW w:w="0" w:type="dxa"/>
            <w:vAlign w:val="bottom"/>
          </w:tcPr>
          <w:p>
            <w:pPr>
              <w:spacing w:after="0"/>
              <w:rPr>
                <w:sz w:val="1"/>
                <w:szCs w:val="1"/>
                <w:color w:val="auto"/>
              </w:rPr>
            </w:pPr>
          </w:p>
        </w:tc>
      </w:tr>
      <w:tr>
        <w:trPr>
          <w:trHeight w:val="22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under the ELOC</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program . . . . .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25,000,000</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73,762</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ELOC program fee</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settled in common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 . . . . . . .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250,000</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under the Sales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Agreement . . .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5,805,995</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835,011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24,942</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upon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conversion of Class B</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 . . . .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2,250,000</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(2,250,000)</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upon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conversion of Series A</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 . . . .</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(360,006)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11,597,654</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5840" w:h="12240" w:orient="landscape"/>
          <w:cols w:equalWidth="0" w:num="2">
            <w:col w:w="230" w:space="78"/>
            <w:col w:w="13780"/>
          </w:cols>
          <w:pgMar w:left="912" w:top="1394" w:right="840" w:bottom="1440" w:gutter="0" w:footer="0" w:header="0"/>
          <w:type w:val="continuous"/>
        </w:sectPr>
      </w:pPr>
    </w:p>
    <w:bookmarkStart w:id="74" w:name="page75"/>
    <w:bookmarkEnd w:id="74"/>
    <w:p>
      <w:pPr>
        <w:jc w:val="center"/>
        <w:ind w:right="-387"/>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5" w:lineRule="exact"/>
        <w:rPr>
          <w:sz w:val="20"/>
          <w:szCs w:val="20"/>
          <w:color w:val="auto"/>
        </w:rPr>
      </w:pPr>
    </w:p>
    <w:p>
      <w:pPr>
        <w:jc w:val="center"/>
        <w:ind w:right="-387"/>
        <w:spacing w:after="0"/>
        <w:rPr>
          <w:sz w:val="20"/>
          <w:szCs w:val="20"/>
          <w:color w:val="auto"/>
        </w:rPr>
      </w:pPr>
      <w:r>
        <w:rPr>
          <w:rFonts w:ascii="Times New Roman" w:cs="Times New Roman" w:eastAsia="Times New Roman" w:hAnsi="Times New Roman"/>
          <w:sz w:val="19"/>
          <w:szCs w:val="19"/>
          <w:b w:val="1"/>
          <w:bCs w:val="1"/>
          <w:color w:val="auto"/>
        </w:rPr>
        <w:t>CONSOLIDATED STATEMENTS OF REDEEMABLE CONVERTIBLE PREFERRED STOCK AND</w:t>
      </w:r>
    </w:p>
    <w:p>
      <w:pPr>
        <w:spacing w:after="0" w:line="16" w:lineRule="exact"/>
        <w:rPr>
          <w:sz w:val="20"/>
          <w:szCs w:val="20"/>
          <w:color w:val="auto"/>
        </w:rPr>
      </w:pPr>
    </w:p>
    <w:p>
      <w:pPr>
        <w:jc w:val="center"/>
        <w:ind w:right="-387"/>
        <w:spacing w:after="0"/>
        <w:rPr>
          <w:sz w:val="20"/>
          <w:szCs w:val="20"/>
          <w:color w:val="auto"/>
        </w:rPr>
      </w:pPr>
      <w:r>
        <w:rPr>
          <w:rFonts w:ascii="Times New Roman" w:cs="Times New Roman" w:eastAsia="Times New Roman" w:hAnsi="Times New Roman"/>
          <w:sz w:val="20"/>
          <w:szCs w:val="20"/>
          <w:b w:val="1"/>
          <w:bCs w:val="1"/>
          <w:color w:val="auto"/>
        </w:rPr>
        <w:t>STOCKHOLDERS’ EQUITY (DEFICIT) — Continued</w:t>
      </w:r>
    </w:p>
    <w:p>
      <w:pPr>
        <w:jc w:val="center"/>
        <w:ind w:right="-387"/>
        <w:spacing w:after="0" w:line="235"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ectPr>
          <w:pgSz w:w="15840" w:h="12240" w:orient="landscape"/>
          <w:cols w:equalWidth="0" w:num="1">
            <w:col w:w="14088"/>
          </w:cols>
          <w:pgMar w:left="912" w:top="1394" w:right="8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69</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780" w:type="dxa"/>
            <w:vAlign w:val="bottom"/>
          </w:tcPr>
          <w:p>
            <w:pPr>
              <w:spacing w:after="0"/>
              <w:rPr>
                <w:sz w:val="15"/>
                <w:szCs w:val="15"/>
                <w:color w:val="auto"/>
              </w:rPr>
            </w:pPr>
          </w:p>
        </w:tc>
        <w:tc>
          <w:tcPr>
            <w:tcW w:w="170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Legacy SoundHound</w:t>
            </w:r>
          </w:p>
        </w:tc>
        <w:tc>
          <w:tcPr>
            <w:tcW w:w="40" w:type="dxa"/>
            <w:vAlign w:val="bottom"/>
          </w:tcPr>
          <w:p>
            <w:pPr>
              <w:spacing w:after="0"/>
              <w:rPr>
                <w:sz w:val="15"/>
                <w:szCs w:val="15"/>
                <w:color w:val="auto"/>
              </w:rPr>
            </w:pPr>
          </w:p>
        </w:tc>
        <w:tc>
          <w:tcPr>
            <w:tcW w:w="1640" w:type="dxa"/>
            <w:vAlign w:val="bottom"/>
            <w:gridSpan w:val="4"/>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Legacy</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700" w:type="dxa"/>
            <w:vAlign w:val="bottom"/>
            <w:tcBorders>
              <w:right w:val="single" w:sz="8" w:color="auto"/>
            </w:tcBorders>
            <w:gridSpan w:val="6"/>
          </w:tcPr>
          <w:p>
            <w:pPr>
              <w:jc w:val="right"/>
              <w:ind w:right="140"/>
              <w:spacing w:after="0" w:line="167" w:lineRule="exact"/>
              <w:rPr>
                <w:sz w:val="20"/>
                <w:szCs w:val="20"/>
                <w:color w:val="auto"/>
              </w:rPr>
            </w:pPr>
            <w:r>
              <w:rPr>
                <w:rFonts w:ascii="Times New Roman" w:cs="Times New Roman" w:eastAsia="Times New Roman" w:hAnsi="Times New Roman"/>
                <w:sz w:val="15"/>
                <w:szCs w:val="15"/>
                <w:b w:val="1"/>
                <w:bCs w:val="1"/>
                <w:color w:val="auto"/>
                <w:w w:val="97"/>
              </w:rPr>
              <w:t>Redeemable Convertible</w:t>
            </w:r>
          </w:p>
        </w:tc>
        <w:tc>
          <w:tcPr>
            <w:tcW w:w="40" w:type="dxa"/>
            <w:vAlign w:val="bottom"/>
          </w:tcPr>
          <w:p>
            <w:pPr>
              <w:spacing w:after="0"/>
              <w:rPr>
                <w:sz w:val="14"/>
                <w:szCs w:val="14"/>
                <w:color w:val="auto"/>
              </w:rPr>
            </w:pPr>
          </w:p>
        </w:tc>
        <w:tc>
          <w:tcPr>
            <w:tcW w:w="1640" w:type="dxa"/>
            <w:vAlign w:val="bottom"/>
            <w:gridSpan w:val="4"/>
          </w:tcPr>
          <w:p>
            <w:pPr>
              <w:jc w:val="center"/>
              <w:ind w:right="160"/>
              <w:spacing w:after="0" w:line="167" w:lineRule="exact"/>
              <w:rPr>
                <w:sz w:val="20"/>
                <w:szCs w:val="20"/>
                <w:color w:val="auto"/>
              </w:rPr>
            </w:pPr>
            <w:r>
              <w:rPr>
                <w:rFonts w:ascii="Times New Roman" w:cs="Times New Roman" w:eastAsia="Times New Roman" w:hAnsi="Times New Roman"/>
                <w:sz w:val="15"/>
                <w:szCs w:val="15"/>
                <w:b w:val="1"/>
                <w:bCs w:val="1"/>
                <w:color w:val="auto"/>
                <w:w w:val="98"/>
              </w:rPr>
              <w:t>SoundHound</w:t>
            </w:r>
          </w:p>
        </w:tc>
        <w:tc>
          <w:tcPr>
            <w:tcW w:w="1520" w:type="dxa"/>
            <w:vAlign w:val="bottom"/>
            <w:gridSpan w:val="4"/>
          </w:tcPr>
          <w:p>
            <w:pPr>
              <w:jc w:val="right"/>
              <w:ind w:right="580"/>
              <w:spacing w:after="0" w:line="168" w:lineRule="exact"/>
              <w:rPr>
                <w:sz w:val="20"/>
                <w:szCs w:val="20"/>
                <w:color w:val="auto"/>
              </w:rPr>
            </w:pPr>
            <w:r>
              <w:rPr>
                <w:rFonts w:ascii="Times New Roman" w:cs="Times New Roman" w:eastAsia="Times New Roman" w:hAnsi="Times New Roman"/>
                <w:sz w:val="15"/>
                <w:szCs w:val="15"/>
                <w:b w:val="1"/>
                <w:bCs w:val="1"/>
                <w:color w:val="auto"/>
              </w:rPr>
              <w:t>Series A</w:t>
            </w:r>
          </w:p>
        </w:tc>
        <w:tc>
          <w:tcPr>
            <w:tcW w:w="1700" w:type="dxa"/>
            <w:vAlign w:val="bottom"/>
            <w:gridSpan w:val="4"/>
          </w:tcPr>
          <w:p>
            <w:pPr>
              <w:jc w:val="right"/>
              <w:ind w:right="680"/>
              <w:spacing w:after="0" w:line="168"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640" w:type="dxa"/>
            <w:vAlign w:val="bottom"/>
            <w:gridSpan w:val="4"/>
          </w:tcPr>
          <w:p>
            <w:pPr>
              <w:jc w:val="right"/>
              <w:ind w:right="660"/>
              <w:spacing w:after="0" w:line="16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70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1"/>
              <w:spacing w:after="0" w:line="170"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360" w:type="dxa"/>
            <w:vAlign w:val="bottom"/>
            <w:gridSpan w:val="4"/>
          </w:tcPr>
          <w:p>
            <w:pPr>
              <w:jc w:val="center"/>
              <w:ind w:left="145"/>
              <w:spacing w:after="0" w:line="167" w:lineRule="exact"/>
              <w:rPr>
                <w:sz w:val="20"/>
                <w:szCs w:val="20"/>
                <w:color w:val="auto"/>
              </w:rPr>
            </w:pPr>
            <w:r>
              <w:rPr>
                <w:rFonts w:ascii="Times New Roman" w:cs="Times New Roman" w:eastAsia="Times New Roman" w:hAnsi="Times New Roman"/>
                <w:sz w:val="15"/>
                <w:szCs w:val="15"/>
                <w:b w:val="1"/>
                <w:bCs w:val="1"/>
                <w:color w:val="auto"/>
                <w:w w:val="99"/>
              </w:rPr>
              <w:t>Preferred Stock</w:t>
            </w: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tcPr>
          <w:p>
            <w:pPr>
              <w:jc w:val="center"/>
              <w:ind w:right="160"/>
              <w:spacing w:after="0" w:line="167"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520" w:type="dxa"/>
            <w:vAlign w:val="bottom"/>
            <w:gridSpan w:val="4"/>
          </w:tcPr>
          <w:p>
            <w:pPr>
              <w:jc w:val="right"/>
              <w:ind w:right="340"/>
              <w:spacing w:after="0" w:line="168"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700" w:type="dxa"/>
            <w:vAlign w:val="bottom"/>
            <w:gridSpan w:val="4"/>
          </w:tcPr>
          <w:p>
            <w:pPr>
              <w:jc w:val="right"/>
              <w:ind w:right="440"/>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640" w:type="dxa"/>
            <w:vAlign w:val="bottom"/>
            <w:gridSpan w:val="4"/>
          </w:tcPr>
          <w:p>
            <w:pPr>
              <w:jc w:val="right"/>
              <w:ind w:right="400"/>
              <w:spacing w:after="0" w:line="168"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640" w:type="dxa"/>
            <w:vAlign w:val="bottom"/>
            <w:tcBorders>
              <w:top w:val="single" w:sz="8" w:color="auto"/>
            </w:tcBorders>
          </w:tcPr>
          <w:p>
            <w:pPr>
              <w:ind w:left="200"/>
              <w:spacing w:after="0" w:line="158" w:lineRule="exact"/>
              <w:rPr>
                <w:sz w:val="20"/>
                <w:szCs w:val="20"/>
                <w:color w:val="auto"/>
              </w:rPr>
            </w:pPr>
            <w:r>
              <w:rPr>
                <w:rFonts w:ascii="Times New Roman" w:cs="Times New Roman" w:eastAsia="Times New Roman" w:hAnsi="Times New Roman"/>
                <w:sz w:val="15"/>
                <w:szCs w:val="15"/>
                <w:b w:val="1"/>
                <w:bCs w:val="1"/>
                <w:color w:val="auto"/>
                <w:w w:val="96"/>
              </w:rPr>
              <w:t>Shares</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b w:val="1"/>
                <w:bCs w:val="1"/>
                <w:color w:val="auto"/>
                <w:w w:val="95"/>
              </w:rPr>
              <w:t>Amount</w:t>
            </w:r>
          </w:p>
        </w:tc>
        <w:tc>
          <w:tcPr>
            <w:tcW w:w="18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20"/>
              <w:spacing w:after="0" w:line="158" w:lineRule="exact"/>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3"/>
                <w:szCs w:val="13"/>
                <w:color w:val="auto"/>
              </w:rPr>
            </w:pPr>
          </w:p>
        </w:tc>
        <w:tc>
          <w:tcPr>
            <w:tcW w:w="700" w:type="dxa"/>
            <w:vAlign w:val="bottom"/>
          </w:tcPr>
          <w:p>
            <w:pPr>
              <w:jc w:val="right"/>
              <w:ind w:right="21"/>
              <w:spacing w:after="0" w:line="157"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
              <w:spacing w:after="0" w:line="157" w:lineRule="exact"/>
              <w:rPr>
                <w:sz w:val="20"/>
                <w:szCs w:val="20"/>
                <w:color w:val="auto"/>
              </w:rPr>
            </w:pPr>
            <w:r>
              <w:rPr>
                <w:rFonts w:ascii="Times New Roman" w:cs="Times New Roman" w:eastAsia="Times New Roman" w:hAnsi="Times New Roman"/>
                <w:sz w:val="15"/>
                <w:szCs w:val="15"/>
                <w:b w:val="1"/>
                <w:bCs w:val="1"/>
                <w:color w:val="auto"/>
                <w:w w:val="95"/>
              </w:rPr>
              <w:t>Loss</w:t>
            </w: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7" w:lineRule="exact"/>
              <w:rPr>
                <w:sz w:val="20"/>
                <w:szCs w:val="20"/>
                <w:color w:val="auto"/>
              </w:rPr>
            </w:pPr>
            <w:r>
              <w:rPr>
                <w:rFonts w:ascii="Times New Roman" w:cs="Times New Roman" w:eastAsia="Times New Roman" w:hAnsi="Times New Roman"/>
                <w:sz w:val="15"/>
                <w:szCs w:val="15"/>
                <w:b w:val="1"/>
                <w:bCs w:val="1"/>
                <w:color w:val="auto"/>
              </w:rPr>
              <w:t>Deficit</w:t>
            </w:r>
          </w:p>
        </w:tc>
        <w:tc>
          <w:tcPr>
            <w:tcW w:w="640" w:type="dxa"/>
            <w:vAlign w:val="bottom"/>
            <w:gridSpan w:val="2"/>
          </w:tcPr>
          <w:p>
            <w:pPr>
              <w:jc w:val="right"/>
              <w:ind w:right="180"/>
              <w:spacing w:after="0" w:line="157"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4"/>
        </w:trPr>
        <w:tc>
          <w:tcPr>
            <w:tcW w:w="17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Class A</w:t>
            </w: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common shares upon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exercise of stock</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options . . . . . . . . . . .</w:t>
            </w:r>
          </w:p>
        </w:tc>
        <w:tc>
          <w:tcPr>
            <w:tcW w:w="72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3,585,829</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8,506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common shares upon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vesting of restricted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units . . . . . . . .</w:t>
            </w:r>
          </w:p>
        </w:tc>
        <w:tc>
          <w:tcPr>
            <w:tcW w:w="72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7,678,184</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warrants . . . . .</w:t>
            </w:r>
          </w:p>
        </w:tc>
        <w:tc>
          <w:tcPr>
            <w:tcW w:w="72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Issuances of ESPP . . . . .</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478,023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compensation . . . . . .</w:t>
            </w:r>
          </w:p>
        </w:tc>
        <w:tc>
          <w:tcPr>
            <w:tcW w:w="72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27,931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27,931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 . . . . . . . . . . . .</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(88,937)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(88,937)</w:t>
            </w:r>
          </w:p>
        </w:tc>
        <w:tc>
          <w:tcPr>
            <w:tcW w:w="0" w:type="dxa"/>
            <w:vAlign w:val="bottom"/>
          </w:tcPr>
          <w:p>
            <w:pPr>
              <w:spacing w:after="0"/>
              <w:rPr>
                <w:sz w:val="1"/>
                <w:szCs w:val="1"/>
                <w:color w:val="auto"/>
              </w:rPr>
            </w:pPr>
          </w:p>
        </w:tc>
      </w:tr>
      <w:tr>
        <w:trPr>
          <w:trHeight w:val="19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income . . . . . . . . . . .</w:t>
            </w:r>
          </w:p>
        </w:tc>
        <w:tc>
          <w:tcPr>
            <w:tcW w:w="72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r>
              <w:rPr>
                <w:rFonts w:ascii="Times New Roman" w:cs="Times New Roman" w:eastAsia="Times New Roman" w:hAnsi="Times New Roman"/>
                <w:sz w:val="16"/>
                <w:szCs w:val="16"/>
                <w:color w:val="auto"/>
              </w:rPr>
              <w:t>. .</w:t>
            </w:r>
          </w:p>
        </w:tc>
        <w:tc>
          <w:tcPr>
            <w:tcW w:w="7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right w:val="single" w:sz="8" w:color="auto"/>
            </w:tcBorders>
            <w:gridSpan w:val="2"/>
          </w:tcPr>
          <w:p>
            <w:pPr>
              <w:jc w:val="right"/>
              <w:ind w:right="140"/>
              <w:spacing w:after="0" w:line="177"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920" w:type="dxa"/>
            <w:vAlign w:val="bottom"/>
            <w:gridSpan w:val="2"/>
          </w:tcPr>
          <w:p>
            <w:pPr>
              <w:ind w:left="580"/>
              <w:spacing w:after="0" w:line="177"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rPr>
              <w:t>475,005</w:t>
            </w:r>
          </w:p>
        </w:tc>
        <w:tc>
          <w:tcPr>
            <w:tcW w:w="72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w w:val="92"/>
              </w:rPr>
              <w:t>$ 14,187</w:t>
            </w:r>
          </w:p>
        </w:tc>
        <w:tc>
          <w:tcPr>
            <w:tcW w:w="98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w w:val="97"/>
              </w:rPr>
              <w:t>216,943,349</w:t>
            </w:r>
          </w:p>
        </w:tc>
        <w:tc>
          <w:tcPr>
            <w:tcW w:w="72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w w:val="99"/>
              </w:rPr>
              <w:t>$22</w:t>
            </w:r>
          </w:p>
        </w:tc>
        <w:tc>
          <w:tcPr>
            <w:tcW w:w="90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w w:val="97"/>
              </w:rPr>
              <w:t>37,485,408</w:t>
            </w:r>
          </w:p>
        </w:tc>
        <w:tc>
          <w:tcPr>
            <w:tcW w:w="74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w w:val="99"/>
              </w:rPr>
              <w:t>$4</w:t>
            </w:r>
          </w:p>
        </w:tc>
        <w:tc>
          <w:tcPr>
            <w:tcW w:w="7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$ 606,135</w:t>
            </w:r>
          </w:p>
        </w:tc>
        <w:tc>
          <w:tcPr>
            <w:tcW w:w="2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199</w:t>
            </w:r>
          </w:p>
        </w:tc>
        <w:tc>
          <w:tcPr>
            <w:tcW w:w="1220" w:type="dxa"/>
            <w:vAlign w:val="bottom"/>
            <w:gridSpan w:val="3"/>
          </w:tcPr>
          <w:p>
            <w:pPr>
              <w:jc w:val="right"/>
              <w:ind w:right="120"/>
              <w:spacing w:after="0" w:line="177" w:lineRule="exact"/>
              <w:rPr>
                <w:sz w:val="20"/>
                <w:szCs w:val="20"/>
                <w:color w:val="auto"/>
              </w:rPr>
            </w:pPr>
            <w:r>
              <w:rPr>
                <w:rFonts w:ascii="Times New Roman" w:cs="Times New Roman" w:eastAsia="Times New Roman" w:hAnsi="Times New Roman"/>
                <w:sz w:val="16"/>
                <w:szCs w:val="16"/>
                <w:color w:val="auto"/>
              </w:rPr>
              <w:t>$   (592,379)</w:t>
            </w:r>
          </w:p>
        </w:tc>
        <w:tc>
          <w:tcPr>
            <w:tcW w:w="5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$ 28,168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5840" w:h="12240" w:orient="landscape"/>
          <w:cols w:equalWidth="0" w:num="2">
            <w:col w:w="230" w:space="78"/>
            <w:col w:w="13780"/>
          </w:cols>
          <w:pgMar w:left="912" w:top="1394" w:right="840" w:bottom="1440" w:gutter="0" w:footer="0" w:header="0"/>
          <w:type w:val="continuous"/>
        </w:sectPr>
      </w:pPr>
    </w:p>
    <w:p>
      <w:pPr>
        <w:jc w:val="center"/>
        <w:ind w:right="-387"/>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ectPr>
          <w:pgSz w:w="15840" w:h="12240" w:orient="landscape"/>
          <w:cols w:equalWidth="0" w:num="1">
            <w:col w:w="14088"/>
          </w:cols>
          <w:pgMar w:left="912" w:top="1394" w:right="840"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60" w:type="dxa"/>
            <w:vAlign w:val="bottom"/>
          </w:tcPr>
          <w:p>
            <w:pPr>
              <w:ind w:left="200"/>
              <w:spacing w:after="0" w:line="206" w:lineRule="exact"/>
              <w:rPr>
                <w:sz w:val="20"/>
                <w:szCs w:val="20"/>
                <w:color w:val="auto"/>
              </w:rPr>
            </w:pPr>
            <w:r>
              <w:rPr>
                <w:rFonts w:ascii="Times New Roman" w:cs="Times New Roman" w:eastAsia="Times New Roman" w:hAnsi="Times New Roman"/>
                <w:sz w:val="18"/>
                <w:szCs w:val="18"/>
                <w:color w:val="auto"/>
              </w:rPr>
              <w:t>Net loss . . . . . . . . . . . . . . . . . . . . . . . . . . . . . . . . . . . . . . . . . . . . . . . . . .</w:t>
            </w:r>
          </w:p>
        </w:tc>
        <w:tc>
          <w:tcPr>
            <w:tcW w:w="260" w:type="dxa"/>
            <w:vAlign w:val="bottom"/>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(88,937)</w:t>
            </w:r>
          </w:p>
        </w:tc>
        <w:tc>
          <w:tcPr>
            <w:tcW w:w="32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(116,713)</w:t>
            </w:r>
          </w:p>
        </w:tc>
        <w:tc>
          <w:tcPr>
            <w:tcW w:w="34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(79,540)</w:t>
            </w:r>
          </w:p>
        </w:tc>
        <w:tc>
          <w:tcPr>
            <w:tcW w:w="0" w:type="dxa"/>
            <w:vAlign w:val="bottom"/>
          </w:tcPr>
          <w:p>
            <w:pPr>
              <w:spacing w:after="0"/>
              <w:rPr>
                <w:sz w:val="1"/>
                <w:szCs w:val="1"/>
                <w:color w:val="auto"/>
              </w:rPr>
            </w:pPr>
          </w:p>
        </w:tc>
      </w:tr>
      <w:tr>
        <w:trPr>
          <w:trHeight w:val="187"/>
        </w:trPr>
        <w:tc>
          <w:tcPr>
            <w:tcW w:w="5460" w:type="dxa"/>
            <w:vAlign w:val="bottom"/>
          </w:tcPr>
          <w:p>
            <w:pPr>
              <w:ind w:left="200"/>
              <w:spacing w:after="0" w:line="187"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60" w:type="dxa"/>
            <w:vAlign w:val="bottom"/>
          </w:tcPr>
          <w:p>
            <w:pPr>
              <w:ind w:left="400"/>
              <w:spacing w:after="0" w:line="199" w:lineRule="exact"/>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Depreciation and amortization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4,037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5,502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Stock-based compensation . . . . . . . . . . . . . . . . . . . . . . . . . . . . . . . . .</w:t>
            </w:r>
          </w:p>
        </w:tc>
        <w:tc>
          <w:tcPr>
            <w:tcW w:w="26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27,931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28,792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6,322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Loss on change in fair value of ELOC program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Change in fair value of derivative and warrant liability . . . . . . . . . . .</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4,920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Amortization of debt issuance costs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2,287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Non-cash lease amortization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3,189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Loss on debt extinguishment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Foreign currency gain/loss from remeasurement . . . . . . . . . . . . . . . .</w:t>
            </w:r>
          </w:p>
        </w:tc>
        <w:tc>
          <w:tcPr>
            <w:tcW w:w="26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Deferred income taxes . . . . .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2,127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Other, net . . . . . . . . . . . . . . .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ind w:left="400"/>
              <w:spacing w:after="0" w:line="206"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Accounts receivable, net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(627)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(1,354)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1,515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Prepaid expenses . . . . . . .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(1,238)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Other current assets .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(821)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299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Contract assets . . . . .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(19,578)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(8,658)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Other non-current assets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Accounts payable . . .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(1,162)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Accrued liabilities . .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4,266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Operating lease liabilities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(3,657)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(3,912)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Deferred revenue . . .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(4,135)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(7,646)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(10,281)</w:t>
            </w:r>
          </w:p>
        </w:tc>
        <w:tc>
          <w:tcPr>
            <w:tcW w:w="0" w:type="dxa"/>
            <w:vAlign w:val="bottom"/>
          </w:tcPr>
          <w:p>
            <w:pPr>
              <w:spacing w:after="0"/>
              <w:rPr>
                <w:sz w:val="1"/>
                <w:szCs w:val="1"/>
                <w:color w:val="auto"/>
              </w:rPr>
            </w:pPr>
          </w:p>
        </w:tc>
      </w:tr>
      <w:tr>
        <w:trPr>
          <w:trHeight w:val="208"/>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Other liabilities . . . . . . . . . . . . . . . . . . . . . . . . . . . . . . . . . . . . . .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194"/>
        </w:trPr>
        <w:tc>
          <w:tcPr>
            <w:tcW w:w="5460" w:type="dxa"/>
            <w:vAlign w:val="bottom"/>
          </w:tcPr>
          <w:p>
            <w:pPr>
              <w:jc w:val="right"/>
              <w:ind w:right="110"/>
              <w:spacing w:after="0" w:line="186" w:lineRule="exact"/>
              <w:rPr>
                <w:sz w:val="20"/>
                <w:szCs w:val="20"/>
                <w:color w:val="auto"/>
              </w:rPr>
            </w:pPr>
            <w:r>
              <w:rPr>
                <w:rFonts w:ascii="Times New Roman" w:cs="Times New Roman" w:eastAsia="Times New Roman" w:hAnsi="Times New Roman"/>
                <w:sz w:val="18"/>
                <w:szCs w:val="18"/>
                <w:color w:val="auto"/>
              </w:rPr>
              <w:t>. . . . . . . . . . . . . . . . . . . . .Netcashusedinoperatingactivities</w:t>
            </w: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(68,265)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(94,019)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(66,177)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Purchases of property and equipment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194"/>
        </w:trPr>
        <w:tc>
          <w:tcPr>
            <w:tcW w:w="5460" w:type="dxa"/>
            <w:vAlign w:val="bottom"/>
          </w:tcPr>
          <w:p>
            <w:pPr>
              <w:jc w:val="right"/>
              <w:ind w:right="110"/>
              <w:spacing w:after="0" w:line="186" w:lineRule="exact"/>
              <w:rPr>
                <w:sz w:val="20"/>
                <w:szCs w:val="20"/>
                <w:color w:val="auto"/>
              </w:rPr>
            </w:pPr>
            <w:r>
              <w:rPr>
                <w:rFonts w:ascii="Times New Roman" w:cs="Times New Roman" w:eastAsia="Times New Roman" w:hAnsi="Times New Roman"/>
                <w:sz w:val="18"/>
                <w:szCs w:val="18"/>
                <w:color w:val="auto"/>
              </w:rPr>
              <w:t>. . . . . . . . . . . . . . . . . . . . .Netcashusedininvestingactivities</w:t>
            </w: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(636)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60" w:type="dxa"/>
            <w:vAlign w:val="bottom"/>
          </w:tcPr>
          <w:p>
            <w:pPr>
              <w:ind w:left="200"/>
              <w:spacing w:after="0" w:line="187" w:lineRule="exact"/>
              <w:rPr>
                <w:sz w:val="20"/>
                <w:szCs w:val="20"/>
                <w:color w:val="auto"/>
              </w:rPr>
            </w:pPr>
            <w:r>
              <w:rPr>
                <w:rFonts w:ascii="Times New Roman" w:cs="Times New Roman" w:eastAsia="Times New Roman" w:hAnsi="Times New Roman"/>
                <w:sz w:val="18"/>
                <w:szCs w:val="18"/>
                <w:color w:val="auto"/>
              </w:rPr>
              <w:t>Proceeds from the issuance of Series A Preferred Stock, net of</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issuance costs . . . . . . . . . . . .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199" w:lineRule="exact"/>
              <w:rPr>
                <w:sz w:val="20"/>
                <w:szCs w:val="20"/>
                <w:color w:val="auto"/>
              </w:rPr>
            </w:pPr>
            <w:r>
              <w:rPr>
                <w:rFonts w:ascii="Times New Roman" w:cs="Times New Roman" w:eastAsia="Times New Roman" w:hAnsi="Times New Roman"/>
                <w:sz w:val="18"/>
                <w:szCs w:val="18"/>
                <w:color w:val="auto"/>
              </w:rPr>
              <w:t>24,942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5460" w:type="dxa"/>
            <w:vAlign w:val="bottom"/>
          </w:tcPr>
          <w:p>
            <w:pPr>
              <w:ind w:left="200"/>
              <w:spacing w:after="0" w:line="187" w:lineRule="exact"/>
              <w:rPr>
                <w:sz w:val="20"/>
                <w:szCs w:val="20"/>
                <w:color w:val="auto"/>
              </w:rPr>
            </w:pPr>
            <w:r>
              <w:rPr>
                <w:rFonts w:ascii="Times New Roman" w:cs="Times New Roman" w:eastAsia="Times New Roman" w:hAnsi="Times New Roman"/>
                <w:sz w:val="18"/>
                <w:szCs w:val="18"/>
                <w:color w:val="auto"/>
              </w:rPr>
              <w:t>Proceeds from sales of common stock under the ELOC program,</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net of issuance cost . . . . . . . . . . . . . . . . . .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199" w:lineRule="exact"/>
              <w:rPr>
                <w:sz w:val="20"/>
                <w:szCs w:val="20"/>
                <w:color w:val="auto"/>
              </w:rPr>
            </w:pPr>
            <w:r>
              <w:rPr>
                <w:rFonts w:ascii="Times New Roman" w:cs="Times New Roman" w:eastAsia="Times New Roman" w:hAnsi="Times New Roman"/>
                <w:sz w:val="18"/>
                <w:szCs w:val="18"/>
                <w:color w:val="auto"/>
              </w:rPr>
              <w:t>71,615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Proceeds from sales of common stock under the Sales Agreement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12,412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Proceeds from issuance of debt, net of issuance costs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85,087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44,738</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Proceeds from the issuance of common stock . . . . . . . . . . . . . . . . . . . .</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9,369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4,160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187"/>
        </w:trPr>
        <w:tc>
          <w:tcPr>
            <w:tcW w:w="5460" w:type="dxa"/>
            <w:vAlign w:val="bottom"/>
          </w:tcPr>
          <w:p>
            <w:pPr>
              <w:ind w:left="200"/>
              <w:spacing w:after="0" w:line="187" w:lineRule="exact"/>
              <w:rPr>
                <w:sz w:val="20"/>
                <w:szCs w:val="20"/>
                <w:color w:val="auto"/>
              </w:rPr>
            </w:pPr>
            <w:r>
              <w:rPr>
                <w:rFonts w:ascii="Times New Roman" w:cs="Times New Roman" w:eastAsia="Times New Roman" w:hAnsi="Times New Roman"/>
                <w:sz w:val="18"/>
                <w:szCs w:val="18"/>
                <w:color w:val="auto"/>
              </w:rPr>
              <w:t>Proceeds from Business Combination and PIPE, net of</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transaction costs . . . . . .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18"/>
                <w:szCs w:val="18"/>
                <w:color w:val="auto"/>
              </w:rPr>
              <w:t>90,689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5460" w:type="dxa"/>
            <w:vAlign w:val="bottom"/>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rPr>
              <w:t>Payments on notes payable . . . . . . . . . . . . . . . . . . . . . . . . . . . . . . . . . . .</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(35,029)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(11,545)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Payments on finance leases . . . . . . . . . . . . . . . . . . . . . . . . . . . . . . . . . .</w:t>
            </w:r>
          </w:p>
        </w:tc>
        <w:tc>
          <w:tcPr>
            <w:tcW w:w="26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cash provided by financing activities . . . . . . . . . . . . . . . . .</w:t>
            </w: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168,237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82,001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44,653</w:t>
            </w:r>
          </w:p>
        </w:tc>
        <w:tc>
          <w:tcPr>
            <w:tcW w:w="0" w:type="dxa"/>
            <w:vAlign w:val="bottom"/>
          </w:tcPr>
          <w:p>
            <w:pPr>
              <w:spacing w:after="0"/>
              <w:rPr>
                <w:sz w:val="1"/>
                <w:szCs w:val="1"/>
                <w:color w:val="auto"/>
              </w:rPr>
            </w:pPr>
          </w:p>
        </w:tc>
      </w:tr>
      <w:tr>
        <w:trPr>
          <w:trHeight w:val="246"/>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Effects of exchange rate changes on cash . . . . . . . . . . . . . . . . .</w:t>
            </w:r>
          </w:p>
        </w:tc>
        <w:tc>
          <w:tcPr>
            <w:tcW w:w="26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4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equivalents . . . . . . . . . . . . . . . . . . . . . . . . . . . . . . . . . . . . . .</w:t>
            </w:r>
          </w:p>
        </w:tc>
        <w:tc>
          <w:tcPr>
            <w:tcW w:w="26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99,560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(13,347)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(22,160)</w:t>
            </w:r>
          </w:p>
        </w:tc>
        <w:tc>
          <w:tcPr>
            <w:tcW w:w="0" w:type="dxa"/>
            <w:vAlign w:val="bottom"/>
          </w:tcPr>
          <w:p>
            <w:pPr>
              <w:spacing w:after="0"/>
              <w:rPr>
                <w:sz w:val="1"/>
                <w:szCs w:val="1"/>
                <w:color w:val="auto"/>
              </w:rPr>
            </w:pPr>
          </w:p>
        </w:tc>
      </w:tr>
      <w:tr>
        <w:trPr>
          <w:trHeight w:val="22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w:t>
            </w: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60" w:type="dxa"/>
            <w:vAlign w:val="bottom"/>
          </w:tcPr>
          <w:p>
            <w:pPr>
              <w:jc w:val="right"/>
              <w:ind w:right="90"/>
              <w:spacing w:after="0" w:line="199" w:lineRule="exact"/>
              <w:rPr>
                <w:sz w:val="20"/>
                <w:szCs w:val="20"/>
                <w:color w:val="auto"/>
              </w:rPr>
            </w:pPr>
            <w:r>
              <w:rPr>
                <w:rFonts w:ascii="Times New Roman" w:cs="Times New Roman" w:eastAsia="Times New Roman" w:hAnsi="Times New Roman"/>
                <w:sz w:val="18"/>
                <w:szCs w:val="18"/>
                <w:color w:val="auto"/>
              </w:rPr>
              <w:t>of year . . . . . . . . . . . . . . . . . . . . . . . . . . . . . . . . . . . . . . . . . . . . . . . . .</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Cash, cash equivalents, and restricted cash equivalents, end of year . . . .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Cash and cash equivalents . . . . . . . . . . . . . . . . . . . . . . . . . . . . . . . . . .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Current portion of restricted cash equivalents . . . . . . . . . . . . . . . . . . . .</w:t>
            </w:r>
          </w:p>
        </w:tc>
        <w:tc>
          <w:tcPr>
            <w:tcW w:w="26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Non-current portion of restricted cash equivalents . . . . . . . . . . . . . . . .</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 cash, cash equivalents, and restricted cash equivalents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tcPr>
          <w:p>
            <w:pPr>
              <w:spacing w:after="0"/>
              <w:rPr>
                <w:sz w:val="17"/>
                <w:szCs w:val="17"/>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shown in the consolidated statements of cash flows . . . . . . . . .</w:t>
            </w: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41" w:right="1440" w:bottom="348"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Year Ended December 31, 2023 and 2022</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disclosures of cash flow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1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Cash paid for interest . . . . . . . . . . . . . . . . . . . . . . . . . . . .</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11,984</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4,364</w:t>
            </w: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00" w:type="dxa"/>
            <w:vAlign w:val="bottom"/>
          </w:tcPr>
          <w:p>
            <w:pPr>
              <w:ind w:left="400"/>
              <w:spacing w:after="0" w:line="199" w:lineRule="exact"/>
              <w:rPr>
                <w:sz w:val="20"/>
                <w:szCs w:val="20"/>
                <w:color w:val="auto"/>
              </w:rPr>
            </w:pPr>
            <w:r>
              <w:rPr>
                <w:rFonts w:ascii="Times New Roman" w:cs="Times New Roman" w:eastAsia="Times New Roman" w:hAnsi="Times New Roman"/>
                <w:sz w:val="20"/>
                <w:szCs w:val="20"/>
                <w:color w:val="auto"/>
              </w:rPr>
              <w:t>Cash paid for income taxes . . . . . . . . . . . . . . . . . . . . . . . .</w:t>
            </w:r>
          </w:p>
        </w:tc>
        <w:tc>
          <w:tcPr>
            <w:tcW w:w="280" w:type="dxa"/>
            <w:vAlign w:val="bottom"/>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2,356</w:t>
            </w:r>
          </w:p>
        </w:tc>
        <w:tc>
          <w:tcPr>
            <w:tcW w:w="460" w:type="dxa"/>
            <w:vAlign w:val="bottom"/>
            <w:gridSpan w:val="2"/>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1,044</w:t>
            </w:r>
          </w:p>
        </w:tc>
        <w:tc>
          <w:tcPr>
            <w:tcW w:w="50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Noncash investing and financing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Conversion of convertible preferred stock to common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stock . . . . . .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10,755</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Debt discount through issuance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warrants . . . .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4,136</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Issuance of common stock to settle commitment shares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related to the ELOC program . . . . . . . . . . . . . . . . . . . .</w:t>
            </w:r>
          </w:p>
        </w:tc>
        <w:tc>
          <w:tcPr>
            <w:tcW w:w="280" w:type="dxa"/>
            <w:vAlign w:val="bottom"/>
            <w:tcBorders>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915</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Conversion of redeemable convertible preferred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600"/>
              <w:spacing w:after="0" w:line="220" w:lineRule="exact"/>
              <w:rPr>
                <w:sz w:val="20"/>
                <w:szCs w:val="20"/>
                <w:color w:val="auto"/>
              </w:rPr>
            </w:pPr>
            <w:r>
              <w:rPr>
                <w:rFonts w:ascii="Times New Roman" w:cs="Times New Roman" w:eastAsia="Times New Roman" w:hAnsi="Times New Roman"/>
                <w:sz w:val="20"/>
                <w:szCs w:val="20"/>
                <w:color w:val="auto"/>
              </w:rPr>
              <w:t>stock to common stock pursuant to Business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Combination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279,503</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Conversion of convertible note into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pursuant to Business Combination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20,239</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Operating lease liabilities arising from obtaining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right-of-use assets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650</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3,422</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Operating lease liabilities and right-of-use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11,428</w:t>
            </w: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through adoption of ASC 842 . . . . . . . . . . . . . . . . . . . .</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Issues of series C redeemable convertible preferred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stock for exercise of warrants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5,816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Property and equipment acquired under finance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0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leases or debt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41" w:right="1440" w:bottom="348"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Nature of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We have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We also provide edge, cloud and hybrid connectivity solutions that allow brands to optimize their voice-enabled products and devices with options ranging from fully-embedded to exclusively cloud-connected.</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for more information on the Business Combination.</w:t>
      </w:r>
    </w:p>
    <w:p>
      <w:pPr>
        <w:spacing w:after="0" w:line="18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Legacy SoundHound was determined to be the accounting acquirer in the Business Combination based on the following facts:</w:t>
      </w:r>
    </w:p>
    <w:p>
      <w:pPr>
        <w:spacing w:after="0" w:line="168" w:lineRule="exact"/>
        <w:rPr>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Former Legacy SoundHound stockholders have a controlling voting interest in the Company;</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board of directors immediately after the closing of the Business Combination was comprised of five board members, primarily from the board of directors of Legacy SoundHound; and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SoundHound’s management continues to hold executive management roles for the Company following the Business Combination and are responsible for the day-to-day operations.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72"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 prior to the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2" w:right="1440" w:bottom="348"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 ORGANIZATION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accordance with guidance applicable to recapitalization transactions,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loss per share related to Legacy SoundHound Preferred Stock and Legacy SoundHound Common Stock prior to the Business Combination have been retroactively restated as shares reflecting the conversion ratio established in the Business Combination.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Going Concern</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Since inception, the Company has generated recurring losses as well as negative operating cash flows and reported a net loss of $88.9 million for the year ended December 31, 2023. As of December 31, 2023, the Company had an accumulated deficit of $592.4 million. Management expects to continue to incur additional substantial losses in the foreseeable future. The Company has historically funded its operations primarily through equity or debt financings.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Total unrestricted cash and cash equivalents on hand as of December 31, 2023 was $95.3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Refer to Note 21 for information regarding the Company’s equity financing activity subsequent to December 31, 2023. 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Risk and Uncertainties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U.S. and global markets are experiencing volatility and disruption following the escalation of geopolitical tensions and the start of the military conflict between Russia and Ukraine and the Israel-Hamas war. Although our business has not been materially impacted by the Russia-Ukraine conflict or the Israel-Hamas war,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BASIS OF PRESENTATION AND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Presentation and Significant Accounting Policies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942" w:right="1440" w:bottom="348"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Principles of Consolidation</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Company’s consolidated financial statements include the accounts of the Company and its wholly-owned subsidiaries. All intercompany accounts and transactions have been eliminated in consolidation.</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Foreign Currency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2023, 2022 and 2021, the Company recognized net losses/(gains) related to foreign currency transactions and remeasurements of $0.5 million, $0.7 million and $0.5 million, respectively, in the consolidated statements of operations as other expense,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Accounts Receivable, Net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When the Company records customer receivables and contract assets arising from revenue transactions, an allowance is recorded for credit losses for the current expected credit losses (“CECL”)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estimates expected credit losses based on relevant information about past events, including historical experience, payment terms, environmental and industry factors, and reasonable and supportable forecasts that affect the collectability of the reported amount. When measuring expected credit losses, we pool assets with similar country risk and credit risk characteristics. Changes in the relevant information may materially affect the estimates of expected credit losses.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41" w:right="1440" w:bottom="348"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Property and Equipment, Net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Depreciation and amortization is provided using the straight-line method over the estimated useful lives of the respective assets.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estimated useful lives of the Company’s property and equipment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4040" w:type="dxa"/>
            <w:vAlign w:val="bottom"/>
          </w:tcPr>
          <w:p>
            <w:pPr>
              <w:jc w:val="center"/>
              <w:ind w:left="2120"/>
              <w:spacing w:after="0"/>
              <w:rPr>
                <w:sz w:val="20"/>
                <w:szCs w:val="20"/>
                <w:color w:val="auto"/>
              </w:rPr>
            </w:pPr>
            <w:r>
              <w:rPr>
                <w:rFonts w:ascii="Times New Roman" w:cs="Times New Roman" w:eastAsia="Times New Roman" w:hAnsi="Times New Roman"/>
                <w:sz w:val="20"/>
                <w:szCs w:val="20"/>
                <w:color w:val="auto"/>
                <w:w w:val="98"/>
              </w:rPr>
              <w:t>3 – 4 years</w:t>
            </w:r>
          </w:p>
        </w:tc>
      </w:tr>
      <w:tr>
        <w:trPr>
          <w:trHeight w:val="220"/>
        </w:trPr>
        <w:tc>
          <w:tcPr>
            <w:tcW w:w="4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Software</w:t>
            </w:r>
          </w:p>
        </w:tc>
        <w:tc>
          <w:tcPr>
            <w:tcW w:w="4040" w:type="dxa"/>
            <w:vAlign w:val="bottom"/>
          </w:tcPr>
          <w:p>
            <w:pPr>
              <w:jc w:val="center"/>
              <w:ind w:left="2120"/>
              <w:spacing w:after="0" w:line="220" w:lineRule="exact"/>
              <w:rPr>
                <w:sz w:val="20"/>
                <w:szCs w:val="20"/>
                <w:color w:val="auto"/>
              </w:rPr>
            </w:pPr>
            <w:r>
              <w:rPr>
                <w:rFonts w:ascii="Times New Roman" w:cs="Times New Roman" w:eastAsia="Times New Roman" w:hAnsi="Times New Roman"/>
                <w:sz w:val="20"/>
                <w:szCs w:val="20"/>
                <w:color w:val="auto"/>
              </w:rPr>
              <w:t>3 years</w:t>
            </w:r>
          </w:p>
        </w:tc>
      </w:tr>
      <w:tr>
        <w:trPr>
          <w:trHeight w:val="220"/>
        </w:trPr>
        <w:tc>
          <w:tcPr>
            <w:tcW w:w="4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Furniture and fixtures</w:t>
            </w:r>
          </w:p>
        </w:tc>
        <w:tc>
          <w:tcPr>
            <w:tcW w:w="4040" w:type="dxa"/>
            <w:vAlign w:val="bottom"/>
          </w:tcPr>
          <w:p>
            <w:pPr>
              <w:jc w:val="center"/>
              <w:ind w:left="2120"/>
              <w:spacing w:after="0" w:line="220" w:lineRule="exact"/>
              <w:rPr>
                <w:sz w:val="20"/>
                <w:szCs w:val="20"/>
                <w:color w:val="auto"/>
              </w:rPr>
            </w:pPr>
            <w:r>
              <w:rPr>
                <w:rFonts w:ascii="Times New Roman" w:cs="Times New Roman" w:eastAsia="Times New Roman" w:hAnsi="Times New Roman"/>
                <w:sz w:val="20"/>
                <w:szCs w:val="20"/>
                <w:color w:val="auto"/>
              </w:rPr>
              <w:t>5 years</w:t>
            </w:r>
          </w:p>
        </w:tc>
      </w:tr>
      <w:tr>
        <w:trPr>
          <w:trHeight w:val="220"/>
        </w:trPr>
        <w:tc>
          <w:tcPr>
            <w:tcW w:w="4240" w:type="dxa"/>
            <w:vAlign w:val="bottom"/>
          </w:tcPr>
          <w:p>
            <w:pPr>
              <w:spacing w:after="0"/>
              <w:rPr>
                <w:sz w:val="19"/>
                <w:szCs w:val="19"/>
                <w:color w:val="auto"/>
              </w:rPr>
            </w:pPr>
          </w:p>
        </w:tc>
        <w:tc>
          <w:tcPr>
            <w:tcW w:w="4040" w:type="dxa"/>
            <w:vAlign w:val="bottom"/>
          </w:tcPr>
          <w:p>
            <w:pPr>
              <w:jc w:val="center"/>
              <w:ind w:left="2120"/>
              <w:spacing w:after="0" w:line="220" w:lineRule="exact"/>
              <w:rPr>
                <w:sz w:val="20"/>
                <w:szCs w:val="20"/>
                <w:color w:val="auto"/>
              </w:rPr>
            </w:pPr>
            <w:r>
              <w:rPr>
                <w:rFonts w:ascii="Times New Roman" w:cs="Times New Roman" w:eastAsia="Times New Roman" w:hAnsi="Times New Roman"/>
                <w:sz w:val="20"/>
                <w:szCs w:val="20"/>
                <w:color w:val="auto"/>
              </w:rPr>
              <w:t>Lesser of useful life or</w:t>
            </w:r>
          </w:p>
        </w:tc>
      </w:tr>
      <w:tr>
        <w:trPr>
          <w:trHeight w:val="223"/>
        </w:trPr>
        <w:tc>
          <w:tcPr>
            <w:tcW w:w="4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Leasehold improvements</w:t>
            </w:r>
          </w:p>
        </w:tc>
        <w:tc>
          <w:tcPr>
            <w:tcW w:w="4040" w:type="dxa"/>
            <w:vAlign w:val="bottom"/>
          </w:tcPr>
          <w:p>
            <w:pPr>
              <w:jc w:val="center"/>
              <w:ind w:left="2120"/>
              <w:spacing w:after="0" w:line="223" w:lineRule="exact"/>
              <w:rPr>
                <w:sz w:val="20"/>
                <w:szCs w:val="20"/>
                <w:color w:val="auto"/>
              </w:rPr>
            </w:pPr>
            <w:r>
              <w:rPr>
                <w:rFonts w:ascii="Times New Roman" w:cs="Times New Roman" w:eastAsia="Times New Roman" w:hAnsi="Times New Roman"/>
                <w:sz w:val="20"/>
                <w:szCs w:val="20"/>
                <w:color w:val="auto"/>
                <w:w w:val="99"/>
              </w:rPr>
              <w:t>the term of the lease</w:t>
            </w:r>
          </w:p>
        </w:tc>
      </w:tr>
    </w:tbl>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Maintenance and repairs that do not extend the life or improve the asset are expensed as incurred.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Impairment of Long-Lived Assets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2023, there have been no such impairments.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Leases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determine if an arrangement is a lease at its inception. Operating lease liabilities are recognized at the lease commencement date based on the present value of lease payments over the lease term. We generally use our incremental borrowing rate based on the information available at the lease commencement date in determining the present value of future payments, because the implicit rate of the lease is generally not known. Right-of-use (“ROU”) assets related to our operating lease liabilities are measured at lease inception based on the initial measurement of the lease liability, plus any prepaid lease payments and less any lease incentives, as applicable. Our lease terms that are used in determining our operating lease liabilities at lease inception may include options to extend or terminate the leases when it is reasonably certain that we will exercise such options. We amortize our ROU assets as operating lease expense generally on a straight-line basis over the lease term and classify both the lease amortization and imputed interest as operating expenses. The Company has lease agreements with lease and nonlease components. The Company elected to not separate lease and nonlease components for its asset class of equipment.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and Cash Equivalents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an original maturity of three months or less from the date of purchase to be cash equivalents. The Company’s cash equivalents consist of treasury bills and money market funds. The treasury bills are treated as available-for-sale securities. Cash equivalents are measured and reported at fair value using quoted prices in active markets for similar securities. The deposits exceed federally insured limits. Changes in fair value for cash equivalents classified as available for sale securities are recorded to other comprehensive loss.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1" w:right="1440" w:bottom="34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2023, available-for-sale securities consisted of U.S. treasury bills and government bonds with original maturities of three months or less. As of December 31, 2022, the Company did not have any available-for-sale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Cash</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Company’s restricted cash were established according to the requirements under the Credit Agreement (as defined in Note 9) and leases for the Company’s corporate headquarters, data center and sales office and are subject to certain restrictions. Restricted cash is classified as current or non-current on the consolidated balance sheets based on the expected duration of the restriction. Non-current restricted cash relates to interest that is required to be held in escrow in an amount equal to the minimum required balance defined in the Credit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Concentrations of Credit Risk and Other Risks and Uncertainties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accounts receivable balances due from Customer A, C, and E accounted for 40%, 32% and 15% of the Company’s consolidated accounts receivable balance, respectively. As of December 31, 2022, accounts receivable balances due from Customer A and C accounted for 49% and 26% of the Company’s consolidated accounts receivable balance, respectively.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unbilled receivables from Customer A, B, and C accounted for 59%, 16% and 11% of the Company’s consolidated unbilled receivables balance, respectively. As of December 31, 2022, unbilled receivables from Customer A, B, and C accounted for 31%, 19% and 28% of the Company’s consolidated unbilled receivables balance, respectively.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2023, Customer A and B accounted for 49% and 13% of the revenue, respectively. For the year ended December 31, 2022, Customer A, C and D accounted for 42%, 13% and 12% of revenue, respectively. For the year ended December 31, 2021, Customer C, D and F accounted for 12%, 18% and 31% of revenue,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 Offerings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enters into certain agreements to sell common stock with counterparties through the Equity Line of Credit (“ELOC”) and the Sales Agreement (as defined in Note 13) to further support its growth strategy through initiatives such as accretive acquisitions and internal investments, to bolster working capital, and/or for general corporate purposes. The Company evaluates its common stock purchase agreements to determine whether they should be accounted for as derivatives with changes in fair value as other income (expense), net in the period in which they occur.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Issuance Costs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capitalizes certain legal, professional, accounting and other third-party fees that are directly associated with in-process equity-classified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941" w:right="1440" w:bottom="348"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Revenue Recognition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Company recognizes revenue under Accounting Standards Codification Topic 606 (“ASC 606”),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Contracts with Customers</w:t>
      </w:r>
      <w:r>
        <w:rPr>
          <w:rFonts w:ascii="Times New Roman" w:cs="Times New Roman" w:eastAsia="Times New Roman" w:hAnsi="Times New Roman"/>
          <w:sz w:val="20"/>
          <w:szCs w:val="20"/>
          <w:color w:val="auto"/>
        </w:rPr>
        <w:t>, when a customer obtains control of promised goods or services in an amount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65" w:lineRule="exact"/>
        <w:rPr>
          <w:sz w:val="20"/>
          <w:szCs w:val="20"/>
          <w:color w:val="auto"/>
        </w:rPr>
      </w:pPr>
    </w:p>
    <w:p>
      <w:pPr>
        <w:ind w:left="960" w:hanging="480"/>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contract(s) with a customer;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 including the constraint on variable consideration;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performance obligations are satisfied.</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Contracts are accounted for when both parties have approved and committed to the contract, the rights of the parties and payment terms are identifiable, the contract has commercial substance and collectability of consideration is probable.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elected the practical expedient to recognize the incremental costs of obtaining a contract including sales commissions as an expense when incurred if the amortization period of such incremental cost would otherwise have been one year or less. Sales commissions are included in sales and marketing expense in the consolidated statements of operations and comprehensive loss.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Warrants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consolidated statements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Income Taxes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w:t>
      </w:r>
    </w:p>
    <w:p>
      <w:pPr>
        <w:sectPr>
          <w:pgSz w:w="12240" w:h="15840" w:orient="portrait"/>
          <w:cols w:equalWidth="0" w:num="1">
            <w:col w:w="9360"/>
          </w:cols>
          <w:pgMar w:left="1440" w:top="941"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41" w:right="1440" w:bottom="348"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classifies interest and penalties related to uncertain tax positions in income tax expense, if applicable. There has been no interest expense or penalties related to unrecognized tax benefits recorded through December 31,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Stock-Based Compensation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except for restricted stock unit awards (“RSUs”) with vesting conditions tied to certain performance criteria (“Performance-Based RSUs”). Stock-based compensation costs for Performance-Based RSUs are recognized on a graded-vesting basis over the vesting period based on the most probable outcome of the performance conditions. If the minimum performance targets are not met, no compensation cost is recognized and any recognized compensation cost is reversed, except for awards subject to a market condition,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56"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The Company estimates volatility for the awards by evaluating the average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of a peer group of companies for the period immediately preceding the award grant for a term that is approximately equal to the awards’ expected term.</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The expected term of the Company’s awards represents the period that the stock-based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68"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risk-free interest rate is based on the implied yield currently available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 Treasury zero-coupon issues with a term that is equal to the awards’ expected term at the grant date.</w:t>
      </w:r>
    </w:p>
    <w:p>
      <w:pPr>
        <w:spacing w:after="0" w:line="174"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 The Company has not declared or paid dividends to date and does not anticipate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declaring dividends. As such, expected dividend yield is zero.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issues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Stock-based compensation related to Performance-Based RSUs is recognized to the extent it is determined that performance is probable of being achieved.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941" w:right="1440" w:bottom="348"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Fair Value Measurements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3" w:lineRule="exact"/>
        <w:rPr>
          <w:sz w:val="20"/>
          <w:szCs w:val="20"/>
          <w:color w:val="auto"/>
        </w:rPr>
      </w:pPr>
    </w:p>
    <w:p>
      <w:pPr>
        <w:ind w:left="96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Inputs are unadjusted quoted prices in active markets for identical assets or liabilities 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measurement date.</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Inputs (other than quoted market prices included in Level 1) are either directly or indirectly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observable for the asset or liability through correlation with market data at the measurement date and for the duration of the instrument’s anticipated life.</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Inputs reflect management’s best estimate of what market participants would use in pricing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asset or liability at the measurement date. Consideration is given to the risk inherent in the valuation technique and the risk inherent in the inputs to the model.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Preferred Stock</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Company assesses its preferred stock instruments at issuance and each reporting period for classification and derivative features requiring bifurcation.</w:t>
      </w:r>
    </w:p>
    <w:p>
      <w:pPr>
        <w:spacing w:after="0" w:line="174"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Company presents as temporary equity any stock which (i) the Company undertakes to redeem at a fixed or determinable price on the fixed or determinable date or dates; (ii) is redeemable at the option of the holders, or</w:t>
      </w:r>
    </w:p>
    <w:p>
      <w:pPr>
        <w:spacing w:after="0" w:line="14" w:lineRule="exact"/>
        <w:rPr>
          <w:sz w:val="20"/>
          <w:szCs w:val="20"/>
          <w:color w:val="auto"/>
        </w:rPr>
      </w:pPr>
    </w:p>
    <w:p>
      <w:pPr>
        <w:jc w:val="both"/>
        <w:spacing w:after="0" w:line="249" w:lineRule="auto"/>
        <w:tabs>
          <w:tab w:leader="none" w:pos="36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conditions for redemption which are not solely within the control of the Company. For stock presented as temporary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temporary equity is not probable of redemption, subsequent adjustment of the amounts presented in temporary equity is unnecessary.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 Loss Per Share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14 for further information.</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Accordingly, in periods in which the Company reports a net loss, diluted net loss per share is the same as basic net loss per share, since dilutive common stock is not assumed to have been issued if their effect is anti-dilutive.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941" w:right="1440" w:bottom="348"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issued Series A Preferred Stock, which accrues cumulative dividends which are either paid in cash or compounding to the liquidation preference at the discretion of the board of directors. The Company accrues dividends as adjustments to net loss before net loss attributable to common stockholders.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 Accounting Pronouncements — Adopted</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continually assess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adopted the standard on January 1, 2023. ASU 2016-13 did not result in any material impact on the Company’s consolidated financial statements and related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 Accounting Pronouncements — Not Yet Adopted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November 2023, the Financial Accounting Standards Board issued Accounting Standards Update No. 2023-07, Segment Reporting, which expands annual and interim disclosure requirements for reportable segments, primarily through enhanced disclosures about significant segment expenses. The updated standard is effective for fiscal years beginning after December 15, 2023, and interim periods within fiscal years beginning after December 15, 2024, with early adoption permitted. The Company is currently evaluating the impact that the updated standard will have on the financial statement disclosures.</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941" w:right="1440" w:bottom="348"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BUSINESS COMBINATION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72"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w:t>
      </w:r>
    </w:p>
    <w:p>
      <w:pPr>
        <w:spacing w:after="0" w:line="2" w:lineRule="exact"/>
        <w:rPr>
          <w:sz w:val="20"/>
          <w:szCs w:val="20"/>
          <w:color w:val="auto"/>
        </w:rPr>
      </w:pPr>
    </w:p>
    <w:p>
      <w:pPr>
        <w:jc w:val="both"/>
        <w:spacing w:after="0" w:line="249" w:lineRule="auto"/>
        <w:tabs>
          <w:tab w:leader="none" w:pos="28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941" w:right="1440" w:bottom="348"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 ATSP trust and cash (net of redemption) . . . . . . . . . . . . . . . . . . . . . . . . . . . . . . . . . . . . . . .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5,357</w:t>
            </w:r>
          </w:p>
        </w:tc>
        <w:tc>
          <w:tcPr>
            <w:tcW w:w="60" w:type="dxa"/>
            <w:vAlign w:val="bottom"/>
          </w:tcPr>
          <w:p>
            <w:pPr>
              <w:spacing w:after="0"/>
              <w:rPr>
                <w:sz w:val="19"/>
                <w:szCs w:val="19"/>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 PIPE Investment . . . . .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113,000</w:t>
            </w:r>
          </w:p>
        </w:tc>
        <w:tc>
          <w:tcPr>
            <w:tcW w:w="60" w:type="dxa"/>
            <w:vAlign w:val="bottom"/>
          </w:tcPr>
          <w:p>
            <w:pPr>
              <w:spacing w:after="0"/>
              <w:rPr>
                <w:sz w:val="22"/>
                <w:szCs w:val="22"/>
                <w:color w:val="auto"/>
              </w:rPr>
            </w:pP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transaction costs . . . . . . .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(27,668)</w:t>
            </w:r>
          </w:p>
        </w:tc>
      </w:tr>
      <w:tr>
        <w:trPr>
          <w:trHeight w:val="24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proceeds from Business Combination and PIPE Investment . . . . . . . . . . . . . . . . . . . . . . . . . .</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90,689</w:t>
            </w:r>
          </w:p>
        </w:tc>
        <w:tc>
          <w:tcPr>
            <w:tcW w:w="6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consolidated balance sheets. Total transaction expenses were recorded as an offset against proceeds received on the closing of the Business Combination, accounted for as additional paid-in capital.</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amount recorded to additional paid-in-capital was comprised of $86.6 million net proceeds from the PIPE investment and $4.1 million after net redemptions of ATSP shareholders.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number of shares of common stock issued immediately following the consummation of the Business Combination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Class A Common Stock – conversion of Legacy SoundHound Common Stock and Legacy</w:t>
            </w:r>
          </w:p>
        </w:tc>
        <w:tc>
          <w:tcPr>
            <w:tcW w:w="1260" w:type="dxa"/>
            <w:vAlign w:val="bottom"/>
          </w:tcPr>
          <w:p>
            <w:pPr>
              <w:spacing w:after="0"/>
              <w:rPr>
                <w:sz w:val="19"/>
                <w:szCs w:val="19"/>
                <w:color w:val="auto"/>
              </w:rPr>
            </w:pPr>
          </w:p>
        </w:tc>
      </w:tr>
      <w:tr>
        <w:trPr>
          <w:trHeight w:val="223"/>
        </w:trPr>
        <w:tc>
          <w:tcPr>
            <w:tcW w:w="798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SoundHound Preferred Stock outstanding prior to Business Combination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140,114,060</w:t>
            </w:r>
          </w:p>
        </w:tc>
      </w:tr>
      <w:tr>
        <w:trPr>
          <w:trHeight w:val="25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Class B Common Stock – conversion of Legacy SoundHound Common Stock and Legacy</w:t>
            </w:r>
          </w:p>
        </w:tc>
        <w:tc>
          <w:tcPr>
            <w:tcW w:w="1260" w:type="dxa"/>
            <w:vAlign w:val="bottom"/>
          </w:tcPr>
          <w:p>
            <w:pPr>
              <w:spacing w:after="0"/>
              <w:rPr>
                <w:sz w:val="22"/>
                <w:szCs w:val="22"/>
                <w:color w:val="auto"/>
              </w:rPr>
            </w:pPr>
          </w:p>
        </w:tc>
      </w:tr>
      <w:tr>
        <w:trPr>
          <w:trHeight w:val="223"/>
        </w:trPr>
        <w:tc>
          <w:tcPr>
            <w:tcW w:w="798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SoundHound Preferred Stock outstanding prior to Business Combination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40,396,600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Class A Common Stock – PIPE Investment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11,300,000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Class A Common Stock – issuance to ATSP shareholders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532,050</w:t>
            </w:r>
          </w:p>
        </w:tc>
      </w:tr>
      <w:tr>
        <w:trPr>
          <w:trHeight w:val="261"/>
        </w:trPr>
        <w:tc>
          <w:tcPr>
            <w:tcW w:w="79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Class A Common Stock – issuance to Legacy SoundHound founders and representatives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4,161,000</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shares of common stock immediately after Business Combination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196,503,710</w:t>
            </w:r>
          </w:p>
        </w:tc>
      </w:tr>
      <w:tr>
        <w:trPr>
          <w:trHeight w:val="20"/>
        </w:trPr>
        <w:tc>
          <w:tcPr>
            <w:tcW w:w="7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REVENUE RECOGNITION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Revenue Recognition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6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derives its revenue primarily from the following performance obligations: (1) hosted services,</w:t>
      </w:r>
    </w:p>
    <w:p>
      <w:pPr>
        <w:spacing w:after="0" w:line="17" w:lineRule="exact"/>
        <w:rPr>
          <w:sz w:val="20"/>
          <w:szCs w:val="20"/>
          <w:color w:val="auto"/>
        </w:rPr>
      </w:pPr>
    </w:p>
    <w:p>
      <w:pPr>
        <w:jc w:val="both"/>
        <w:spacing w:after="0" w:line="246" w:lineRule="auto"/>
        <w:tabs>
          <w:tab w:leader="none" w:pos="2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services, (3) monetization, and (4) licensing. Revenues are reported net of applicable sales and use taxes that are passed through to customers. The Company applies significant judgement in identifying and evaluating any terms and conditions in contracts which impact revenue recognition.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941" w:right="1440" w:bottom="348"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the following performance obligations in contracts with customers: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Hosted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Professional Services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Revenues from distinct professional services, such as non-integrated development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For distinct professional services determined to be recognized over-time, measuring the stage of completion of a project requires significant judgement and estimates and is based on input and output measures. During the year ended December 31, 2023, $7.4 million of professional service revenue was recognized over time, with the remaining $0.9 million recognized at a point in time when the performance obligation was fulfilled and control of the service was transferred to the customer. During the year ended December 31, 2022, $2.2 million of professional service revenue was recognized over time, with the remaining $2.0 million recognized at a point in time when the performance obligation was fulfilled and control of the service was transferred to the customer. During the year ended December 31, 2021, $2.4 million of professional service revenue was recognized over time, with the remaining $4.7 million recognized at a point in time when the performance obligation was fulfilled and control of the service was transferred to the customer.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Monetization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941" w:right="1440" w:bottom="348"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Licensing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licenses voice solutions that are embedded in customer’s products.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For royalty arrangements that include fixed considerations related to a minimum guarantee from a customer, the fixed consideration allocated to the license is recognized when the control of the license passes to the customer. The Company provides assurance-type warranty services and to date, post-contract support has been an immaterial performance obligation within the context of the contract.</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62" w:lineRule="exact"/>
        <w:rPr>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developing and supplying each performance obligation;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standards;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product groupings;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objectives and pricing practices, such as contractually stated prices, discounts offered and applicable price lists.</w:t>
      </w:r>
    </w:p>
    <w:p>
      <w:pPr>
        <w:spacing w:after="0" w:line="17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5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Company’s long-term contracts do not have significant financing components, as there is generally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941" w:right="1440" w:bottom="348"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2022 and 2021, revenue under each performance obligation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Licensing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Hosted services . . . . . . .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12,764</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 . . .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7,142</w:t>
            </w: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Monetization . . . . . . . . . . . . . . . . . . . . . . . . . . . . . . . . . . . . . . .</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21,197</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2022 and 2021, the disaggregated revenue by geographic location*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Korea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Germany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7,526</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2,616</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Japan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3,797</w:t>
            </w:r>
          </w:p>
        </w:tc>
      </w:tr>
      <w:tr>
        <w:trPr>
          <w:trHeight w:val="261"/>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768</w:t>
            </w:r>
          </w:p>
        </w:tc>
      </w:tr>
      <w:tr>
        <w:trPr>
          <w:trHeight w:val="24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21,197</w:t>
            </w: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w:t>
      </w:r>
    </w:p>
    <w:p>
      <w:pPr>
        <w:spacing w:after="0" w:line="17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2022 and 2021, the disaggregated revenue by recognition pattern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Over time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15,210</w:t>
            </w: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Point-in-time . . . . . . . . . . . . . . . . . . . . . . . . . . . . . . . . . . . . . . .</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20,116</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11,174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5,987</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21,197</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which include customer services, food ordering, content, appointments, and voice commerce. Subscription revenues are derived from monthly fees based on usage-based revenue, revenue per query or revenue per user. Both Houndified Products and Houndified Services may include professional services that develop and customize the Houndify platform to fit customers’ specific needs. Revenues from Monetization are generated from the SoundHound music identification app and are primarily attributable to user ad impression revenue. For the years ended December 31, 2023, 2022 and 2021, the disaggregated revenue by service type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Product royalties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28,447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18,356</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Service subscriptions . .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w:t>
            </w: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Monetization . . . . . . . . . . . . . . . . . . . . . . . . . . . . . . . . . . . . . . .</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21,197</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941" w:right="1440" w:bottom="348"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Contract Balances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 As of December 31, 2021, accounts receivable, net of allowances, were $2.1 million, contract assets were $54 thousand and deferred revenue was $21.0 million.</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2022, $7.6 million of licensing revenue was recognized from the Company’s Houndify Edge solution, which was delivered to a customer during the second half of 2022, related to minimum guarantee units to be utilized over the life of the contract and resulted in a corresponding increase in the contract assets balance. During the year ended December 31, 2023, the Company and the same customer modified the minimum guarantee units in an existing contract in the ordinary course of business. The Company accounted for a contract modification prospectively resulting in an increase to net revenue in the amount of $10.4 million during the year ended December 31, 2023, with corresponding increases in contract asset balances. Additionally, during the year ended December 31, 2023, the Company recognized $3.6 million of licensing revenue related to right-to-use licenses for a new contract in 2023, where delivery occurred and total consideration was fixed.</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has not recorded any asset impairment charges related to contract assets during the periods presented in the consolidated financial statements.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balance of contract assets for the years ended December 31, 2023 and 2022 includes $5.1 million and $3.5 million, respectively, of unbilled receivables which represents amounts for which the Company has an unconditional right to bill the customer.</w:t>
      </w:r>
    </w:p>
    <w:p>
      <w:pPr>
        <w:spacing w:after="0" w:line="173"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Revenues recognized included in the balances of the deferred revenue at the beginning of the reporting period for the years ended December 31, 2023, 2022 and 2021 were $7.9 million, $6.4 million and $14.9 million, respectively.</w:t>
      </w:r>
    </w:p>
    <w:p>
      <w:pPr>
        <w:spacing w:after="0" w:line="15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2023, the aggregate amount of the transaction price allocated to the remaining performance obligations related to customer contracts that were unsatisfied or partially unsatisfied was $12.7 million. Given the applicable contract terms, $6.4 million is expected to be recognized as revenue within one year, $3.3 million is expected to be recognized between 2 to 5 years and the remainder of $3.0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research and development costs are expensed as incurred. These costs include salaries and other personnel related expenses, contractor fees, facility costs, supplies, and depreciation of equipment associated with the design and development of new software products prior to the establishment of technological feasibility.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941" w:right="1440" w:bottom="348"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PROPERTY AND EQUIPMENT, NET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Computer equipment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19,278</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20,946</w:t>
            </w: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Software and voice recordings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3,850</w:t>
            </w:r>
          </w:p>
        </w:tc>
        <w:tc>
          <w:tcPr>
            <w:tcW w:w="60" w:type="dxa"/>
            <w:vAlign w:val="bottom"/>
          </w:tcPr>
          <w:p>
            <w:pPr>
              <w:spacing w:after="0"/>
              <w:rPr>
                <w:sz w:val="22"/>
                <w:szCs w:val="22"/>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Furniture and fixtures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60" w:type="dxa"/>
            <w:vAlign w:val="bottom"/>
          </w:tcPr>
          <w:p>
            <w:pPr>
              <w:spacing w:after="0"/>
              <w:rPr>
                <w:sz w:val="22"/>
                <w:szCs w:val="22"/>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property and equipment, at cost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34,977</w:t>
            </w:r>
          </w:p>
        </w:tc>
        <w:tc>
          <w:tcPr>
            <w:tcW w:w="60" w:type="dxa"/>
            <w:vAlign w:val="bottom"/>
          </w:tcPr>
          <w:p>
            <w:pPr>
              <w:spacing w:after="0"/>
              <w:rPr>
                <w:sz w:val="20"/>
                <w:szCs w:val="20"/>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accumulated depreciation and amortization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(32,136)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(31,530)</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.Totalpropertyandequipment,net............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3,447</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and 2022, property and equipment, net includes assets under finance lease obligations (see Note 15 for additional information) with an aggregate cost of approximately $0.5 million and $0.6 million, respectively and accumulated depreciation of approximately $0.1 million and $0.3 million, respectively. Depreciation and amortization expense in respect of capitalized property and equipment totaled approximately $2.3 million, $4.0 million and $5.5 million for the years ended December 31, 2023, 2022 and 2021,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ACCRUED LIABILITIES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Accrued liabilities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 expenses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6,134</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vendor payables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lender fees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ELOC liability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accrued liabilities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40"/>
        </w:trPr>
        <w:tc>
          <w:tcPr>
            <w:tcW w:w="64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Contracts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Aggregate non-cancelable future minimum payments were as follows as of December 31, 2023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2024. . . . . . . . . . . . . . . . . . . . . . . . . . . . . . . . . . . . . . . . . . . . . . . . . . . . . . . . . . . . . . . . . . . . . . . . . . .</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2025. . . . . . . . . . . . . . . . . . . . . . . . . . . . . . . . . . . . . . . . . . . . . . . . . . . . . . . . . . . . . . . . . . . . . . . . . . .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2028. . . . . . . . . . . . . . . . . . . . . . . . . . . . . . . . . . . . . . . . . . . . . . . . . . . . . . . . . . . . . . . . . . . . . . . . . . .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24,000</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 . . .</w:t>
            </w:r>
          </w:p>
        </w:tc>
        <w:tc>
          <w:tcPr>
            <w:tcW w:w="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89,000</w:t>
            </w:r>
          </w:p>
        </w:tc>
      </w:tr>
      <w:tr>
        <w:trPr>
          <w:trHeight w:val="20"/>
        </w:trPr>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941" w:right="1440" w:bottom="348"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COMMITMENTS AND CONTINGENCIES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Legal Proceedings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Matters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20"/>
          <w:szCs w:val="20"/>
          <w:i w:val="1"/>
          <w:iCs w:val="1"/>
          <w:color w:val="auto"/>
        </w:rPr>
        <w:t>South Dakota v. Wayfair, Inc.</w:t>
      </w:r>
      <w:r>
        <w:rPr>
          <w:rFonts w:ascii="Times New Roman" w:cs="Times New Roman" w:eastAsia="Times New Roman" w:hAnsi="Times New Roman"/>
          <w:sz w:val="20"/>
          <w:szCs w:val="20"/>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$0.2 million and $1.1 million as of December 31, 2023 and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WARRANTS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Warrants Related to Convertible Notes and Note Payable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 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Credit Agreement (as defined in Note 9), on the Term Loan Closing Date the Company issued a warrant to purchase up to 3,301,536 shares of the Company’s Class A common stock to the Agent (the “Term Loan Warrant”). The Term Loan Warrant has a per share exercise price of $2.59 and may be exercised, including on a cashless basis, by the holder at any time prior to the 10-year anniversary of the issue date. The Term Loan Warrant will be automatically cashless exercised immediately prior to a change in control of the Company. On the Term Loan Closing Date, the Company allocated the gross proceeds and issuance costs between the Term Loan and the Term Loan Warrant based on their relative fair values, resulting in the initial recognition of the Term Loan Warrant at $4.1 million as additional paid-in-capital on the consolidated balance sheets. As of December 31, 2023, there were 3,301,536 warrants issued and outstanding in connection with the Credit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Warrants Related to the Business Combination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Warrants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Prior to the Business Combination,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ectPr>
          <w:pgSz w:w="12240" w:h="15840" w:orient="portrait"/>
          <w:cols w:equalWidth="0" w:num="1">
            <w:col w:w="9360"/>
          </w:cols>
          <w:pgMar w:left="1440" w:top="941" w:right="1440" w:bottom="348"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941" w:right="1440" w:bottom="348"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WARRANTS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Subsequent to the closing of the Business Combination, the Company’s Public Warrants continue to be classified as equity instruments, as they are indexed to the Company’s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Warrants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Prior to the Business Combination,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Business Combination, the Company modified its Private Warrants to be identical to its Public Warrants (collectively, “SPAC Warrants”). Therefore, the Private Warrants met requirements for classification as equity instruments, as they are indexed to the Company’s stock.</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2023, there were 3,665,996 SPAC Warrants issued and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NOTE PAYABLE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SNAP June 2020 Note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June 2020, the Company issued a promissory note (the “SNAP June 2020 Note”) to a Lender in exchange for $15.0 million in cash proceeds. The note had an annual interest rate of 5% and a maturity date of June 26, 2022, if not converted earlier pursuant to conversion terms and change in control events.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recognized total interest expense of $0.7 million associated with the SNAP June 2020 Note for the year ended December 31, 2022, out of which $0.4 million relates to amortization of the debt discount. The Company recognized total interest expense of $2.0 million associated with the SNAP June 2020 Note for the year ended December 31, 2021, out of which $1.3 million relates to amortization of the debt discount. The debt discount related to the SNAP June 2020 Note is amortized over the life of the instrument, beginning at note issuance and ending on April 26, 2022, the date on which the note was converted. The Company was amortizing the discounts on an effective interest basis over the period from issuance through the Early Maturity Date. The effective interest rate was 14.3% for the years ended December 31, 2022 and 2021.</w:t>
      </w:r>
    </w:p>
    <w:p>
      <w:pPr>
        <w:spacing w:after="0" w:line="171"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As a result of the Business Combination, on the Closing Date, the SNAP June 2020 Note conversion feature was triggered.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SVB March 2021 Note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March 2021, the Company entered into a loan and security agreement with a commercial bank to borrow $30.0 million. The loan bore interest at an annual rate equal to the greater of 9.00% or 5.75% above the Prime Rate. During the year ended December 31, 2023, the interest rate was 13.75%. Payments were interest-only for the first twelve months and are now principal and interest through maturity. The Company recorded interest expense in the consolidated statements of operations and comprehensive loss for the years ended December 31, 2023, 2022 and 2021 of $0.6 million, $2.8 million and $2.1 million respectively. The total amount of debt discount at issuance was $3.5 million. During the years ended December 31, 2023, 2022 and 2021, the Company recorded $16 thousand, $1.0 million and $2.4 million related to the amortization of the debt discount in interest expense, respectively. The Company was amortizing the discounts on an effective interest basis over the period from issuance through the Early Maturity Date. The effective interest rate was 13.4%, 14.9% and 20.9% for the year ended December 31, 2023, 2022 and 2021.</w:t>
      </w:r>
    </w:p>
    <w:p>
      <w:pPr>
        <w:sectPr>
          <w:pgSz w:w="12240" w:h="15840" w:orient="portrait"/>
          <w:cols w:equalWidth="0" w:num="1">
            <w:col w:w="9360"/>
          </w:cols>
          <w:pgMar w:left="1440" w:top="941" w:right="1440" w:bottom="348"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941" w:right="1440" w:bottom="348"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NOTE PAYABLE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Concurrently with the Company’s entry into the Credit Agreement,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w:t>
      </w:r>
    </w:p>
    <w:p>
      <w:pPr>
        <w:spacing w:after="0" w:line="2" w:lineRule="exact"/>
        <w:rPr>
          <w:sz w:val="20"/>
          <w:szCs w:val="20"/>
          <w:color w:val="auto"/>
        </w:rPr>
      </w:pPr>
    </w:p>
    <w:p>
      <w:pPr>
        <w:jc w:val="both"/>
        <w:spacing w:after="0" w:line="246" w:lineRule="auto"/>
        <w:tabs>
          <w:tab w:leader="none" w:pos="36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of $0.1 million and (iv) a nominal amount for transaction expenses. The Company recorded a loss on debt extinguishment of $0.4 million related to the early repayment in interest expense in the consolidated statements of operations and comprehensive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SCI June 2021 Note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year ended December 31, 2023, the interest rate was 13.75%. Payments were interest-only for the first twelve months and are now principal and interest through maturity. The Company incurred and paid $0.5 million, $1.5 million and $0.3 million in interest expense in the consolidated statements of operations and comprehensive loss for the years ended December 31, 2023, 2022 and 2021 respectively. During the years ended December 31, 2023, 2022 and 2021, the Company recorded $31 thousand, $0.8 million and $1.0 million related to the amortization of the debt discounts in interest expense, respectively. The Company was amortizing the discounts on an effective interest basis over the period from issuance through the Early Maturity Date. The effective interest rate was 18.6%, 17.3% and 26.1% for the year ended December 31, 2023, 2022 and 2021.</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Concurrently with the Company’s entry into the Credit Agreement,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The Company recorded a loss on debt extinguishment of $0.4 million related to the early repayment in interest expense in the consolidated statements of operations and comprehensive loss for the year ended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the Company is obligated to pay incremental lender fees, beginning on the Closing Date, equal to initially 3.5% of the principal amount of the Term Loans, decreasing to 2.5% after the 18-month anniversary, semi-annually (the “Lender Fees”) to provide a collateral protection insurance policy on behalf of the Lenders. The Lender Fees are effectively additional fees payable to the Lenders as the Lenders are the sole beneficiary of the insurance policy and is therefore being recognized as interest expense over the term of the Term Loan based on the effective interest method.</w:t>
      </w:r>
    </w:p>
    <w:p>
      <w:pPr>
        <w:spacing w:after="0" w:line="181"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941" w:right="1440" w:bottom="348"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NOTE PAYABLE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7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outstanding principal balance of the Term Loan bears interest at the applicable margin plus, at the Company’s election, either (i) the Term SOFR rate published by CME Group Benchmark Administration Limited for a one-month interest period plus 0.15% or (ii) the alternate base rate (“ABR”), which is a per annum rate equal to the greatest of</w:t>
      </w:r>
    </w:p>
    <w:p>
      <w:pPr>
        <w:spacing w:after="0" w:line="2" w:lineRule="exact"/>
        <w:rPr>
          <w:sz w:val="20"/>
          <w:szCs w:val="20"/>
          <w:color w:val="auto"/>
        </w:rPr>
      </w:pPr>
    </w:p>
    <w:p>
      <w:pPr>
        <w:jc w:val="both"/>
        <w:spacing w:after="0" w:line="249" w:lineRule="auto"/>
        <w:tabs>
          <w:tab w:leader="none" w:pos="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Prime Rate (as defined in the Credit Agreement), (b) the NYFRB Rate (as defined in the Credit Agreement) plus 0.50% and (c) the Term SOFR rate plus 1.00%. The applicable margin under the Credit Agreement is 8.50% per annum with respect to SOFR loans, and 7.50% per annum with respect to ABR loans. As of December 31, 2023, the contractual interest rate was approximately 14.0%. The Company was amortizing the discounts on an effective interest basis over the period from issuance through the Early Maturity Date. The effective interest rate was 25.18% for the year ended December 31, 2023. The Company incurred and paid $9.9 million in stated interest in the consolidated statements of operations and comprehensive loss for the year ended December 31, 2023. During the year ended December 31, 2023, the Company recorded $5.4 million in interest expense related to the debt discount. The remaining period over which the discount will be amortized is 3.33 years as of December 31, 2023.</w:t>
      </w:r>
    </w:p>
    <w:p>
      <w:pPr>
        <w:spacing w:after="0" w:line="17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5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Term Loan is secured by substantially all of the assets of the Company and its subsidiaries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elect to prepay amounts at any time. If the Term Loan is prepaid for any reason prior to the second anniversary of the Closing Date, in additional to principal and accrued interest, the Company will have to pay an amount equal to the discounted future interest payments from the date of redemption through the second anniversary of the Closing Date, calculated on the basis of the interest rate in effect on the redemption date and discounted based on the applicable rate for US treasury securities of equal tenor plus 50 basis points. Additionally, the Company will have to pay the excess of 14% of the Term Loans over the amount of the Lender Fees paid through the Redemption Date.</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The Interest Escrow Required Amount as described in Note 2 is included in restricted cash equivalents, non-current, on the consolidated balance sheet as of December 31, 2023.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As of December 31, 2023, the Company was in compliance with all covenants prescribed in the Credit Agreement.</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941" w:right="1440" w:bottom="348"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NOTE PAYABLE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aggregate long-term debt maturities were as follows as of December 31, 2023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2"/>
                <w:szCs w:val="22"/>
                <w:color w:val="auto"/>
              </w:rPr>
            </w:pPr>
          </w:p>
        </w:tc>
      </w:tr>
      <w:tr>
        <w:trPr>
          <w:trHeight w:val="239"/>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 . . . .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0"/>
                <w:szCs w:val="20"/>
                <w:color w:val="auto"/>
              </w:rPr>
            </w:pPr>
          </w:p>
        </w:tc>
      </w:tr>
      <w:tr>
        <w:trPr>
          <w:trHeight w:val="261"/>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Less: unamortized discount . .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(15,688)</w:t>
            </w:r>
          </w:p>
        </w:tc>
      </w:tr>
      <w:tr>
        <w:trPr>
          <w:trHeight w:val="239"/>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Long-term portion of debt . . . . . . . . . . . . . . . . . . . . . . . . . . . . . . . . . . . . . . . . . . . . . . . . . . . . . . . . .</w:t>
            </w:r>
          </w:p>
        </w:tc>
        <w:tc>
          <w:tcPr>
            <w:tcW w:w="60" w:type="dxa"/>
            <w:vAlign w:val="bottom"/>
          </w:tcPr>
          <w:p>
            <w:pPr>
              <w:spacing w:after="0"/>
              <w:rPr>
                <w:sz w:val="20"/>
                <w:szCs w:val="20"/>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84,312</w:t>
            </w:r>
          </w:p>
        </w:tc>
        <w:tc>
          <w:tcPr>
            <w:tcW w:w="60" w:type="dxa"/>
            <w:vAlign w:val="bottom"/>
          </w:tcPr>
          <w:p>
            <w:pPr>
              <w:spacing w:after="0"/>
              <w:rPr>
                <w:sz w:val="20"/>
                <w:szCs w:val="20"/>
                <w:color w:val="auto"/>
              </w:rPr>
            </w:pPr>
          </w:p>
        </w:tc>
      </w:tr>
    </w:tbl>
    <w:p>
      <w:pPr>
        <w:spacing w:after="0" w:line="15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Company’s debt balances as of December 31, 2023 and December 31, 2022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Term Loan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SVB March 2021 Note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22,050</w:t>
            </w:r>
          </w:p>
        </w:tc>
        <w:tc>
          <w:tcPr>
            <w:tcW w:w="60" w:type="dxa"/>
            <w:vAlign w:val="bottom"/>
          </w:tcPr>
          <w:p>
            <w:pPr>
              <w:spacing w:after="0"/>
              <w:rPr>
                <w:sz w:val="22"/>
                <w:szCs w:val="22"/>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SCI June 2021 Note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12,979</w:t>
            </w:r>
          </w:p>
        </w:tc>
        <w:tc>
          <w:tcPr>
            <w:tcW w:w="60" w:type="dxa"/>
            <w:vAlign w:val="bottom"/>
          </w:tcPr>
          <w:p>
            <w:pPr>
              <w:spacing w:after="0"/>
              <w:rPr>
                <w:sz w:val="22"/>
                <w:szCs w:val="22"/>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debt.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35,029</w:t>
            </w:r>
          </w:p>
        </w:tc>
        <w:tc>
          <w:tcPr>
            <w:tcW w:w="60" w:type="dxa"/>
            <w:vAlign w:val="bottom"/>
          </w:tcPr>
          <w:p>
            <w:pPr>
              <w:spacing w:after="0"/>
              <w:rPr>
                <w:sz w:val="20"/>
                <w:szCs w:val="20"/>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debt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(16,668)</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Unamortized discount and debt issuance costs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(15,688)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Carrying value of long-term debt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84,312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18,299</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RESTRUCTURING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as incurred. During the year ended December 31, 2023, we recorded $4.6 million of restructuring expenses in connection with the Restructuring Plan, of which $1.4 million were cash payments. The Restructuring Plan was substantially complete as of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FAIR VALUE MEASUREMENT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fair value of the Company’s financial instruments that are measured or disclosed at fair value on a recurring basis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5"/>
        </w:trPr>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Treasury bills . .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Money market funds . . . . . . . . . . . . . . . . . . . . . . . . . . . . . . .</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54,542</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w w:val="89"/>
              </w:rPr>
              <w:t>—</w:t>
            </w:r>
          </w:p>
        </w:tc>
      </w:tr>
      <w:tr>
        <w:trPr>
          <w:trHeight w:val="24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assets . .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90,503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941" w:right="1440" w:bottom="348"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FAIR VALUE MEASUREMENT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There were no financial instrument assets measured or disclosed at fair value on a recurring basis as of December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Line of Credit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Equity Line of</w:t>
            </w:r>
          </w:p>
        </w:tc>
      </w:tr>
      <w:tr>
        <w:trPr>
          <w:trHeight w:val="210"/>
        </w:trPr>
        <w:tc>
          <w:tcPr>
            <w:tcW w:w="7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Credit</w:t>
            </w:r>
          </w:p>
        </w:tc>
        <w:tc>
          <w:tcPr>
            <w:tcW w:w="60" w:type="dxa"/>
            <w:vAlign w:val="bottom"/>
          </w:tcPr>
          <w:p>
            <w:pPr>
              <w:spacing w:after="0"/>
              <w:rPr>
                <w:sz w:val="18"/>
                <w:szCs w:val="18"/>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8"/>
              </w:rPr>
              <w:t>January 1, 2022 . . . . . . . . . . . . . . . . . . . . . . . . . . . . . . . . . . . . . . . . . . . . . . . . . . . . . . . . . . . . . . . . . .</w:t>
            </w:r>
          </w:p>
        </w:tc>
        <w:tc>
          <w:tcPr>
            <w:tcW w:w="42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ELOC . . . . . . . . . . . . . . . . . . . . . . . .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22"/>
                <w:szCs w:val="22"/>
                <w:color w:val="auto"/>
              </w:rPr>
            </w:pPr>
          </w:p>
        </w:tc>
      </w:tr>
      <w:tr>
        <w:trPr>
          <w:trHeight w:val="239"/>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 . . . . . . . . . . . . . . . . . . . . . . . . . . . . . . . . . . . . . . . . . . . . . . . . . . . . . . . . . . . . . .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20"/>
                <w:szCs w:val="20"/>
                <w:color w:val="auto"/>
              </w:rPr>
            </w:pP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 . . . . . . . . . . . . . . . . . . . . . . . . . . . . . . . . . . . . . . . . . . . . . . . . . . . . . . . . . . . .</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w:t>
            </w:r>
          </w:p>
        </w:tc>
        <w:tc>
          <w:tcPr>
            <w:tcW w:w="60" w:type="dxa"/>
            <w:vAlign w:val="bottom"/>
          </w:tcPr>
          <w:p>
            <w:pPr>
              <w:spacing w:after="0"/>
              <w:rPr>
                <w:sz w:val="22"/>
                <w:szCs w:val="22"/>
                <w:color w:val="auto"/>
              </w:rPr>
            </w:pPr>
          </w:p>
        </w:tc>
      </w:tr>
      <w:tr>
        <w:trPr>
          <w:trHeight w:val="261"/>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Settlements . . . . . . . . . . . . . . . . . . . . . . . . . . . . . . . .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(2,976)</w:t>
            </w:r>
          </w:p>
        </w:tc>
      </w:tr>
      <w:tr>
        <w:trPr>
          <w:trHeight w:val="24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8"/>
              </w:rPr>
              <w:t>December 31, 2023 . . . . . . . . . . . . . . . . . . . . . . . . . . . . . . . . . . . . . . . . . . . . . . . . . . . . . . . . . . . . . . .</w:t>
            </w: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estimated the Level 3 fair value of the liability related to the ELOC using contractual inputs of the commitment shares and reimbursement fees prior to the settlement. The Company determined that the ELOC was not indexed to the Company’s own common stock and, therefore, should be accounted for in accordance with ASC 815: </w:t>
      </w:r>
      <w:r>
        <w:rPr>
          <w:rFonts w:ascii="Times New Roman" w:cs="Times New Roman" w:eastAsia="Times New Roman" w:hAnsi="Times New Roman"/>
          <w:sz w:val="20"/>
          <w:szCs w:val="20"/>
          <w:i w:val="1"/>
          <w:iCs w:val="1"/>
          <w:color w:val="auto"/>
        </w:rPr>
        <w:t>Derivatives</w:t>
      </w:r>
      <w:r>
        <w:rPr>
          <w:rFonts w:ascii="Times New Roman" w:cs="Times New Roman" w:eastAsia="Times New Roman" w:hAnsi="Times New Roman"/>
          <w:sz w:val="20"/>
          <w:szCs w:val="20"/>
          <w:color w:val="auto"/>
        </w:rPr>
        <w:t>. Accordingly, the Company recorded a derivative liability with an initial fair value of $1.1 million based on the upfront commitment fee and the reimbursement amount to the investor as consideration for its irrevocable commitment to purchase up to 25,000,000 shares of the Company’s common stock.</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Subsequent changes in the fair value of the derivative liability are dependent upon, among other things, changes in the closing share price of the Company’s common stock, the quantity and purchase price of shares purchased during the reporting period, the unused capacity under the ELOC as of the balance sheet date and the cost of raising other forms of capital. The Company adjusts the previous fair value estimate of the committed equity facility at each reporting period based on changes in the weighted average purchase price of shares purchased during the period, the unused capacity available under the ELOC, expected stock price volatility and other macroeconomic factors which impact the cost of raising comparable forms of capital.</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changes in the fair value of the committed equity facility were an increase of $1.9 million for the year ended December 31, 2023, which is included in other (income) expense, net on the consolidated statements of operations and comprehensive income (loss). The fair value of the liability then is remeasured as of the settlement date equal to the difference between the volume weighted average price at a 3% discount compared to the fair value of the 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Series C Warrants (April 2013 and November 2013)</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December 2021, the Series C Warrants were fully exercised. Immediately prior to their exercise, the Company revalued the warrants to their intrinsic value, resulting in a change in fair value of $3.8 million. This change in fair value was recorded as a component of other expense, net, in the accompanying consolidated statements of operations and comprehensive loss. The warrants were recorded as Series C Preferred Stock at their fair value of $5.8 million upon net share settlement.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Derivative Liability (SNAP June 2020 Note)</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941" w:right="1440" w:bottom="348"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FAIR VALUE MEASUREMENT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980" w:type="dxa"/>
            <w:vAlign w:val="bottom"/>
          </w:tcPr>
          <w:p>
            <w:pPr>
              <w:spacing w:after="0"/>
              <w:rPr>
                <w:sz w:val="18"/>
                <w:szCs w:val="18"/>
                <w:color w:val="auto"/>
              </w:rPr>
            </w:pPr>
          </w:p>
        </w:tc>
        <w:tc>
          <w:tcPr>
            <w:tcW w:w="1220" w:type="dxa"/>
            <w:vAlign w:val="bottom"/>
            <w:tcBorders>
              <w:bottom w:val="single" w:sz="8" w:color="auto"/>
            </w:tcBorders>
          </w:tcPr>
          <w:p>
            <w:pPr>
              <w:jc w:val="right"/>
              <w:ind w:right="30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Probability of Next Equity Financing . . . . . . . . . . . . . . . . . . . . . . . . . . . . . . . . . . . . . . . . . . . . . . . .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Probability of SPAC/PIPE . . . . . . . . . . . . . . . . . . . . . . . . . . . . . . . . . . . . . . . . . . . . . . . . . . . . . . . . .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Probability of IPO . . . . . . . . . . . . . . . . . . . . . . . . . . . . . . . . . . . . . . . . . . . . . . . . . . . . . . . . . . . . . . .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0"/>
        </w:trPr>
        <w:tc>
          <w:tcPr>
            <w:tcW w:w="7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9"/>
        </w:trPr>
        <w:tc>
          <w:tcPr>
            <w:tcW w:w="79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term (years) . . . . . . . . . .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 . . . . . . . . . . . . . . . . . . . . . . . . . . . . . . . . . . . . . . . . . . . . . . . . . . . .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bl>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significant unobservable inputs used in the fair value measurement of the derivative liability are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remaining expected term, the discount rate, and the probability of financing for each scenario. Significant increases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(decreases) in the term would result in significantly lower (higher) fair value measurements. Significant increases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(decreases) in the discount rate would result in significantly lower (higher) fair value measurements.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expense, net on the consolidated statements of operations and comprehensive loss. The fair value of the embedded derivative was recorded as additional paid-in capital upon extinguishment on the consolidated balance sheet.</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fair value remeasurement of the embedded derivative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 (in thousands):</w:t>
      </w:r>
    </w:p>
    <w:p>
      <w:pPr>
        <w:spacing w:after="0" w:line="183"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p>
      <w:pPr>
        <w:ind w:left="7000"/>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800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390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14605</wp:posOffset>
                </wp:positionV>
                <wp:extent cx="800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5pt" to="462pt,1.15pt" o:allowincell="f" strokecolor="#000000" strokeweight="0.5pt"/>
            </w:pict>
          </mc:Fallback>
        </mc:AlternateContent>
      </w:r>
    </w:p>
    <w:p>
      <w:pPr>
        <w:spacing w:after="0" w:line="26" w:lineRule="exact"/>
        <w:rPr>
          <w:sz w:val="20"/>
          <w:szCs w:val="20"/>
          <w:color w:val="auto"/>
        </w:rPr>
      </w:pPr>
    </w:p>
    <w:p>
      <w:pPr>
        <w:spacing w:after="0"/>
        <w:tabs>
          <w:tab w:leader="none" w:pos="6520" w:val="left"/>
          <w:tab w:leader="none" w:pos="7400" w:val="left"/>
          <w:tab w:leader="none" w:pos="8700" w:val="left"/>
        </w:tabs>
        <w:rPr>
          <w:sz w:val="20"/>
          <w:szCs w:val="20"/>
          <w:color w:val="auto"/>
        </w:rPr>
      </w:pPr>
      <w:r>
        <w:rPr>
          <w:rFonts w:ascii="Times New Roman" w:cs="Times New Roman" w:eastAsia="Times New Roman" w:hAnsi="Times New Roman"/>
          <w:sz w:val="20"/>
          <w:szCs w:val="20"/>
          <w:color w:val="auto"/>
        </w:rPr>
        <w:t>Remeasurement of conversion feature – loss . . . . . . . . . . . . . . . . . . . . . . . . . . . .</w:t>
        <w:tab/>
        <w:t>$</w:t>
      </w:r>
      <w:r>
        <w:rPr>
          <w:sz w:val="20"/>
          <w:szCs w:val="20"/>
          <w:color w:val="auto"/>
        </w:rPr>
        <w:tab/>
      </w:r>
      <w:r>
        <w:rPr>
          <w:rFonts w:ascii="Times New Roman" w:cs="Times New Roman" w:eastAsia="Times New Roman" w:hAnsi="Times New Roman"/>
          <w:sz w:val="20"/>
          <w:szCs w:val="20"/>
          <w:color w:val="auto"/>
        </w:rPr>
        <w:t>(606) $</w:t>
      </w:r>
      <w:r>
        <w:rPr>
          <w:sz w:val="20"/>
          <w:szCs w:val="20"/>
          <w:color w:val="auto"/>
        </w:rPr>
        <w:tab/>
      </w:r>
      <w:r>
        <w:rPr>
          <w:rFonts w:ascii="Times New Roman" w:cs="Times New Roman" w:eastAsia="Times New Roman" w:hAnsi="Times New Roman"/>
          <w:sz w:val="19"/>
          <w:szCs w:val="19"/>
          <w:color w:val="auto"/>
        </w:rPr>
        <w:t>(1,108)</w:t>
      </w:r>
    </w:p>
    <w:p>
      <w:pPr>
        <w:spacing w:after="0" w:line="15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a summary of changes in fair value of the Company’s derivative liability and warrant liability for which fair value was determined by Level 3 inputs: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2"/>
              <w:spacing w:after="0" w:line="201"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2"/>
              <w:spacing w:after="0" w:line="201"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60" w:type="dxa"/>
            <w:vAlign w:val="bottom"/>
          </w:tcPr>
          <w:p>
            <w:pPr>
              <w:spacing w:after="0"/>
              <w:rPr>
                <w:sz w:val="18"/>
                <w:szCs w:val="18"/>
                <w:color w:val="auto"/>
              </w:rPr>
            </w:pPr>
          </w:p>
        </w:tc>
      </w:tr>
      <w:tr>
        <w:trPr>
          <w:trHeight w:val="24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Balance as of December 31, 2020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w:t>
            </w:r>
          </w:p>
        </w:tc>
        <w:tc>
          <w:tcPr>
            <w:tcW w:w="1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w:t>
            </w: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3,812</w:t>
            </w:r>
          </w:p>
        </w:tc>
        <w:tc>
          <w:tcPr>
            <w:tcW w:w="60" w:type="dxa"/>
            <w:vAlign w:val="bottom"/>
          </w:tcPr>
          <w:p>
            <w:pPr>
              <w:spacing w:after="0"/>
              <w:rPr>
                <w:sz w:val="22"/>
                <w:szCs w:val="22"/>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Exercise of warrants . . . . . . . . . . . . . . . . . . . . . . . . . . . . . . . . . . . . . . . . . . . . . .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(5,816)</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Balance as of December 31, 2021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3,488</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w:t>
            </w:r>
          </w:p>
        </w:tc>
        <w:tc>
          <w:tcPr>
            <w:tcW w:w="1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Extinguishment of embedded derivative upon conversion of convertible note .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.BalanceasofDecember31,2022...................................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 Loan and Term Loan Warrant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fair value of the Company’s variable rate Term Loan approximates aggregate principal amount as the interest rate of the loan approximates market rates.</w:t>
      </w:r>
    </w:p>
    <w:p>
      <w:pPr>
        <w:spacing w:after="0" w:line="17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 issued a Class A Common Stock warrant in connection with the Term Loan (see Note 8 for additional information). The warrant was recorded based on the allocation of its relative fair value of the debt proceeds of $4.1 million. The warrants were classified as equity instruments at inception with a corresponding discount recorded</w:t>
      </w:r>
    </w:p>
    <w:p>
      <w:pPr>
        <w:sectPr>
          <w:pgSz w:w="12240" w:h="15840" w:orient="portrait"/>
          <w:cols w:equalWidth="0" w:num="1">
            <w:col w:w="9360"/>
          </w:cols>
          <w:pgMar w:left="1440" w:top="941" w:right="1440" w:bottom="348"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941" w:right="1440" w:bottom="348"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FAIR VALUE MEASUREMENT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issuance against the outstanding note payable in connection with the Term Loan. The common stock warrant is not subject to remeasurement at each subsequent balance sheet date due to its classification as an equity instrument as it is considered indexed to the Company’s stock. The Term Loan warrant expires in April 2033.</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determined the fair value of the Term Loan common stock warrant at issuance using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Black-Scholes option-pricing model using the following assumptions:</w:t>
      </w:r>
    </w:p>
    <w:p>
      <w:pPr>
        <w:spacing w:after="0" w:line="210"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color w:val="auto"/>
        </w:rPr>
        <w:t>Expected dividend rate . . . . . . . . . . . . . . . . . . . . . . . . . . . . . . . . . . . . . . . . . . . . . . . . . . . . . . . . . . . .</w:t>
      </w:r>
      <w:r>
        <w:rPr>
          <w:sz w:val="20"/>
          <w:szCs w:val="20"/>
          <w:color w:val="auto"/>
        </w:rPr>
        <w:tab/>
      </w:r>
      <w:r>
        <w:rPr>
          <w:rFonts w:ascii="Times New Roman" w:cs="Times New Roman" w:eastAsia="Times New Roman" w:hAnsi="Times New Roman"/>
          <w:sz w:val="19"/>
          <w:szCs w:val="19"/>
          <w:color w:val="auto"/>
        </w:rPr>
        <w:t>—%</w:t>
      </w:r>
    </w:p>
    <w:p>
      <w:pPr>
        <w:spacing w:after="0" w:line="30" w:lineRule="exact"/>
        <w:rPr>
          <w:sz w:val="20"/>
          <w:szCs w:val="20"/>
          <w:color w:val="auto"/>
        </w:rPr>
      </w:pPr>
    </w:p>
    <w:p>
      <w:pPr>
        <w:spacing w:after="0"/>
        <w:tabs>
          <w:tab w:leader="none" w:pos="8820" w:val="left"/>
        </w:tabs>
        <w:rPr>
          <w:sz w:val="20"/>
          <w:szCs w:val="20"/>
          <w:color w:val="auto"/>
        </w:rPr>
      </w:pPr>
      <w:r>
        <w:rPr>
          <w:rFonts w:ascii="Times New Roman" w:cs="Times New Roman" w:eastAsia="Times New Roman" w:hAnsi="Times New Roman"/>
          <w:sz w:val="20"/>
          <w:szCs w:val="20"/>
          <w:color w:val="auto"/>
        </w:rPr>
        <w:t>Risk-free interest rate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3.60%</w:t>
      </w:r>
    </w:p>
    <w:p>
      <w:pPr>
        <w:spacing w:after="0" w:line="30"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color w:val="auto"/>
        </w:rPr>
        <w:t>Expected volatility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52%</w:t>
      </w:r>
    </w:p>
    <w:p>
      <w:pPr>
        <w:spacing w:after="0" w:line="30"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color w:val="auto"/>
        </w:rPr>
        <w:t>Expected term (in years)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2023, no warrants related to the Term Loan had been exercised.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PREFERRED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Legacy SoundHound Preferred Stock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Legacy SoundHound Preferred Stock was not mandatorily redeemable. Legacy SoundHound Preferred Stock was contingently redeemable upon a deemed liquidation event which the Company determined was not solely within its control as the Company determined that a deemed liquidation event can only occur with the approval of the board of directors and the preferred shareholders maintained control of the board of directors as of December 31, 2021 and through April 26, 2022, the effective date of the Business Combination, and thus has classified shares of Legacy SoundHound Preferred Stock as temporary equity. Since the occurrence of a deemed liquidation event was not probable, the carrying values of the shares of legacy SoundHound Preferred Stock were not being accreted to their redemption values.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 summary of the Legacy SoundHound Preferred Stock authorized, issued and outstanding as of the date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Combination is as follows</w:t>
      </w:r>
      <w:r>
        <w:rPr>
          <w:rFonts w:ascii="Times New Roman" w:cs="Times New Roman" w:eastAsia="Times New Roman" w:hAnsi="Times New Roman"/>
          <w:sz w:val="20"/>
          <w:szCs w:val="20"/>
          <w:i w:val="1"/>
          <w:iCs w:val="1"/>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260" w:type="dxa"/>
            <w:vAlign w:val="bottom"/>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1260" w:type="dxa"/>
            <w:vAlign w:val="bottom"/>
          </w:tcPr>
          <w:p>
            <w:pPr>
              <w:jc w:val="right"/>
              <w:ind w:right="287"/>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right"/>
              <w:ind w:right="102"/>
              <w:spacing w:after="0" w:line="201"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87"/>
              <w:spacing w:after="0" w:line="201" w:lineRule="exact"/>
              <w:rPr>
                <w:sz w:val="20"/>
                <w:szCs w:val="20"/>
                <w:color w:val="auto"/>
              </w:rPr>
            </w:pPr>
            <w:r>
              <w:rPr>
                <w:rFonts w:ascii="Times New Roman" w:cs="Times New Roman" w:eastAsia="Times New Roman" w:hAnsi="Times New Roman"/>
                <w:sz w:val="18"/>
                <w:szCs w:val="18"/>
                <w:b w:val="1"/>
                <w:bCs w:val="1"/>
                <w:color w:val="auto"/>
              </w:rPr>
              <w:t>Issued</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line="201" w:lineRule="exact"/>
              <w:rPr>
                <w:sz w:val="20"/>
                <w:szCs w:val="20"/>
                <w:color w:val="auto"/>
              </w:rPr>
            </w:pPr>
            <w:r>
              <w:rPr>
                <w:rFonts w:ascii="Times New Roman" w:cs="Times New Roman" w:eastAsia="Times New Roman" w:hAnsi="Times New Roman"/>
                <w:sz w:val="18"/>
                <w:szCs w:val="18"/>
                <w:b w:val="1"/>
                <w:bCs w:val="1"/>
                <w:color w:val="auto"/>
              </w:rPr>
              <w:t>Preference</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A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19,106,048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19,106,048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28,239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4,967</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B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33,702,134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33,702,134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11,038</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C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5,687,525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5,687,525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11,837</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C-1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4,436,090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4,436,090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89,298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16,061</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20,258,299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20,258,299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527,992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85,648</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D-1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8,418,535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8,418,535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277,812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49,957</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D-2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8,418,530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8,418,530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277,811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49,949</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D-3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6,922,165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6,922,165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276,887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50,046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Series D-3A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20,835,869</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127,785,195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106,949,326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1,582,562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279,503</w:t>
            </w:r>
          </w:p>
        </w:tc>
      </w:tr>
      <w:tr>
        <w:trPr>
          <w:trHeight w:val="20"/>
        </w:trPr>
        <w:tc>
          <w:tcPr>
            <w:tcW w:w="3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Upon the closing of the Business Combination, the outstanding shares of Series A, B, C, C-1, D, D-1, D-2, and D-3 preferred stock were converted into 106,949,326 shares of SoundHound AI Class A Common Stock at the exchange ratio of 1-for-1. Shares Authorized and Shares Issued above have been retroactively adjusted to reflect the exchange of 1 share of Legacy SoundHound stock into 5.5562 shares of the Company’s Class A or Class B Common Stock. As a result of the conversion of the Legacy SoundHound redeemable convertible preferred stock, the Company reclassified the amount of redeemable convertible preferred stock to additional paid in capital.</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w:t>
      </w:r>
    </w:p>
    <w:p>
      <w:pPr>
        <w:sectPr>
          <w:pgSz w:w="12240" w:h="15840" w:orient="portrait"/>
          <w:cols w:equalWidth="0" w:num="1">
            <w:col w:w="9360"/>
          </w:cols>
          <w:pgMar w:left="1440" w:top="941" w:right="1440" w:bottom="348"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941" w:right="1440" w:bottom="348"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PREFERRED STOCK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Series A Convertible Preferred Stock</w:t>
      </w:r>
    </w:p>
    <w:p>
      <w:pPr>
        <w:spacing w:after="0" w:line="177" w:lineRule="exact"/>
        <w:rPr>
          <w:sz w:val="20"/>
          <w:szCs w:val="20"/>
          <w:color w:val="auto"/>
        </w:rPr>
      </w:pPr>
    </w:p>
    <w:p>
      <w:pPr>
        <w:jc w:val="both"/>
        <w:ind w:firstLine="480"/>
        <w:spacing w:after="0" w:line="279" w:lineRule="auto"/>
        <w:rPr>
          <w:sz w:val="20"/>
          <w:szCs w:val="20"/>
          <w:color w:val="auto"/>
        </w:rPr>
      </w:pPr>
      <w:r>
        <w:rPr>
          <w:rFonts w:ascii="Times New Roman" w:cs="Times New Roman" w:eastAsia="Times New Roman" w:hAnsi="Times New Roman"/>
          <w:sz w:val="18"/>
          <w:szCs w:val="18"/>
          <w:color w:val="auto"/>
        </w:rPr>
        <w:t>On January 20, 2023, the Company entered into the Purchase Agreements with the Investors, pursuant to which the Company issued and sold to the Investors an aggregate of 835,011 shares of its newly designated Series A Convertible Preferred Stock for issuance price of $30.00 per share, raising an aggregate of approximately $25.0 million in cash proceeds. On January 20, 2023, the Company filed a Certificate of Designations of Preferences, Rights and Limitations of the Series A Preferred Stock with the Secretary of State of the State of Delaware (the “Certificate of Designations”), designating shares of Series A Preferred Stock.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 The holders of SeriesA Preferred Stock are entitled to cumulative dividends payable for such share at the rate of 14% per annum, compounding semi-annually to Liquidation Preference on January 1 and July 1 of each year. The Company may also elect to pay any dividend in cash in lieu of accretion to Liquidation Preference if permitted under the agreements and instruments governing its outstanding indebtedness at such time. After payment of the cumulative dividend, including by way of accretion to the Liquidation Preference, any additional dividends declared or paid shall be distributed among the holders of Preferred Stock and common stock then outstanding pro rata based on the number of shares of common stock then held by each holder (assuming conversion of all such Preferred Stock into common stock at the then-effective conversion price.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 Preference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Liquidation Preference per share of Preferred Stock was initially equal to $30.00, the original issue price per share. On July 1, 2023, the Company’s Series A Preferred Stock holders received dividends paid-in-kind as an increase in the Liquidation Preference, thereby increasing the Liquidation Preference per share to approximately $31.90. Additionally, as of December 31, 2023, the Series A Preferred Stock had accrued additional dividends since the last dividend payment date which has the effect of increasing the Liquidation Preference to approximately $34.16.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Series A Preferred Stock is not mandatorily redeemable.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the Company or in the event of any Deemed Liquidation Event (as defined below), the holders of the Series A Preferred Stock will be entitled to receive, prior and in preference to any distribution of the proceeds of the transaction or any of the assets of the Company to holders of the common stock, an amount per share equal to the greater of (i) two and a half time (2.5x) the Liquidation Preference (including any accrued and unpaid dividends since the last dividend payment date) or (ii) the amount as would have been payable had the Series A Preferred Stock been converted into common stock.</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Deemed Liquidation Event includes (i) a merger or acquisition of the Company in which 50% or less of the voting securities of the surviving entity are no longer held by the shareholders of the Company immediately prior to such transaction or (ii) a sale, lease, transfer, exclusive license, or other disposal of all or substantially all of the Company’s assets. If the Company is not liquidated within 90 days of a Deemed Liquidation Event, the holders of the Series A Preferred Stock will have the option to require the redemption of the Preferred Stock to the extent the Company has sufficient available proceeds to do so. The Company determined that a Deemed Liquidation Event can only occur with the approval of the board of directors, and therefore the exercise of this contingent redemption feature is within the control of the Company and the Investors are not in control of the Company. Therefore, the Series A Preferred Stock is not classified as redeemable equity within the Company’s consolidated balance sheet and consolidated statements of redeemable convertible preferred stock and stockholders’ equity (deficit).</w:t>
      </w:r>
    </w:p>
    <w:p>
      <w:pPr>
        <w:sectPr>
          <w:pgSz w:w="12240" w:h="15840" w:orient="portrait"/>
          <w:cols w:equalWidth="0" w:num="1">
            <w:col w:w="9360"/>
          </w:cols>
          <w:pgMar w:left="1440" w:top="941" w:right="1440" w:bottom="348"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941" w:right="1440" w:bottom="348"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PREFERRED STOCK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year ended December 31, 2023, some Investors optionally converted 360,006 shares of Series A Preferred Stock into 11,597,656 shares of Class A Common Stock. The conversion was pursuant to the original terms of the agreement and therefore the carrying value of Series A Preferred Stock was converted into Class A Common Stock with no gain or loss upon conversion.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COMMON STOCK</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had 250,030,433 shares of Legacy SoundHound common stock authorized for issuance prior to the closing of the Business Combination.</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April 26, 2022, following the Business Combination and pursuant to the Company’s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Line of Credit (“ELOC”)</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w:t>
      </w:r>
    </w:p>
    <w:p>
      <w:pPr>
        <w:sectPr>
          <w:pgSz w:w="12240" w:h="15840" w:orient="portrait"/>
          <w:cols w:equalWidth="0" w:num="1">
            <w:col w:w="9360"/>
          </w:cols>
          <w:pgMar w:left="1440" w:top="941" w:right="1440" w:bottom="348"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941" w:right="1440" w:bottom="348"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COMMON STOCK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Company had the right, but not the obligation, to direct the Counterparty to purchase up to 25,000,000 shares of Class A Common Stock, subject to certain limitations and conditions as described below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controlled the timing and amount of any sales to the Counterparty, which depended on a variety of factors including, among other things, market conditions, the trading price of the Company’s common stock, and determinations by the Company as to appropriate sources of funding for its business and operations. However, the Counterparty’s obligation to purchase shares is subject to certain conditions, including the daily trading volume of the Company’s stock. In all instances, the Company may not sell shares of its common stock under the Purchase Agreement if it would result in the Counterparty and its affiliate beneficially owning more than 4.99% of its outstanding voting power or shares of common stock at any one point in time, or the aggregation number of shares of common stock would not exceed 39,365,804 shares of common stock representing 19.99% of the voting power or number of shares of common stock.</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evaluated the Common Stock Purchase Agreement with the Counterparty and determined that it was not indexed to the Company’s own common stock and, therefore, should be accounted for as a derivative instrument at fair value with changes in fair value as other income (expense), net in the period in which they occur. Accordingly, the Company recorded a derivative liability with an initial fair value of $1.1 million based on the upfront commitment fee in the form of proceeds from future issuance of commitment shares to the Counterparty plus certain fees and expenses as specified in the Purchase Agreement. Subsequent changes in the fair value of the derivative liability were dependent upon, among other things, changes in the closing share price of the Company’s common stock, the quantity and purchase price of shares purchased by the Counterparty during the reporting period and the cost of raising other forms of capital.</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recorded changes in the fair value of the derivative liability associated with the ELOC of $1.9 million and $1.1 million respectively, for the years ended December 31, 2023 and 2022 as other income (expense), net on its consolidated statements of operations and comprehensive loss. The Company incurred third-party costs of $0.2 million related to the execution of the Common Stock Purchase Agreement which were recorded as general and administrative expenses in the consolidated statements of operations and comprehensive loss for the year ended December 31, 2023. Refer to Note 2 for information on the fair value of the derivative liability.</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year ended, the Company sold the entirety of the 25,000,000 shares under the ELOC Program for aggregate proceeds of approximately $71.7 million, with the volume weighted average stock price of shares purchased by the Counterparty ranging from $1.75 to $4.26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Sales Agreement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 million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 thousand in the aggregate in connection with the execution of the Sales Agreement.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941" w:right="1440" w:bottom="348"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COMMON STOCK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the Company sold 5,805,995 shares of our common stock under the Sales Agreement, at a weighted-average price of $2.19 per share and raised $12.7 million of gross proceeds. The commissions and offering costs borne by the Company during the year were approximately $0.3 million. As of December 31, 2023, the Company has a remaining capacity to sell up to an additional $137.3 million of the Company’s common stock under the Sales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STOCK INCENTIVE PLANS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April 26, 2022, the stockholders of the Company approved the SoundHound AI, Inc. 2022 Incentive Award Plan (the “2022 Incentive Plan”) (collectively,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December 31, 2023, the Company had 2,361,806 awards remaining for issuance under the 2022 Incentive Plan.</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2023, we had issued 478,023 shares pursuant to the ESPP.</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941" w:right="1440" w:bottom="348"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STOCK INCENTIVE PLANS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Option Activity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Stock option activity under the Plans was as follows for the years ended December 31, 2023,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2"/>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2"/>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00"/>
        </w:trPr>
        <w:tc>
          <w:tcPr>
            <w:tcW w:w="366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2"/>
              <w:spacing w:after="0" w:line="200"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2"/>
              <w:spacing w:after="0" w:line="201" w:lineRule="exact"/>
              <w:rPr>
                <w:sz w:val="20"/>
                <w:szCs w:val="20"/>
                <w:color w:val="auto"/>
              </w:rPr>
            </w:pPr>
            <w:r>
              <w:rPr>
                <w:rFonts w:ascii="Times New Roman" w:cs="Times New Roman" w:eastAsia="Times New Roman" w:hAnsi="Times New Roman"/>
                <w:sz w:val="18"/>
                <w:szCs w:val="18"/>
                <w:b w:val="1"/>
                <w:bCs w:val="1"/>
                <w:color w:val="auto"/>
                <w:w w:val="94"/>
              </w:rPr>
              <w:t>Price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Term (Years)</w:t>
            </w:r>
          </w:p>
        </w:tc>
        <w:tc>
          <w:tcPr>
            <w:tcW w:w="18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2020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28,772,180</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6,303,953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(2,590,780)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9,667</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cancelled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(2,123,948)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2021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30,361,405</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168,705</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391,619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(3,595,706)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22,534</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cancelled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(1,736,893)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2022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25,420,425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(3,585,829)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5,207</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cancelled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(4,993,229)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2023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16,841,367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1,392</w:t>
            </w:r>
          </w:p>
        </w:tc>
      </w:tr>
      <w:tr>
        <w:trPr>
          <w:trHeight w:val="20"/>
        </w:trPr>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Exercisable, December 31, 2023 . . . . . . . . .</w:t>
            </w: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15,084,586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3.26</w:t>
            </w:r>
          </w:p>
        </w:tc>
        <w:tc>
          <w:tcPr>
            <w:tcW w:w="14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4.45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1,392</w:t>
            </w:r>
          </w:p>
        </w:tc>
      </w:tr>
      <w:tr>
        <w:trPr>
          <w:trHeight w:val="20"/>
        </w:trPr>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2023, 2022 and 2021 that were subject to repurchase.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weighted average grant date fair value per option granted was $3.11, during the year ended December 31, 2022 and $3.06 during the year ended December 31, 2021. There were no options granted during the year ended December 31, 2023. The total fair value of options vested was approximately $4.5 million, $9.9 million and $5.4 million during the years ended December 31, 2023, 2022 and 2021, respectively. The Company recorded stock-based compensation expense related to options of $4.0 million, $8.7 million and $6.3 million for the years ended December 31, 2023, 2022 and 2021. As of December 31, 2023, the unamortized expense related to outstanding options was $4.5 million. The weighted average remaining amortization period over which the balance as of December 31, 2023 is to be amortized is 1.51 years.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purpose of determining the estimated fair value of share-based payment awards issued in the form of stock options, the Company uses the Black-Scholes option-pricing model. The assumptions under the Black-Scholes option-pricing model during the years ended December 31, 2022 and 2021 were as follows for option awards: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r>
      <w:tr>
        <w:trPr>
          <w:trHeight w:val="247"/>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 yield . . . . . . . . . . . . . . . . . . . . . . . . . . . . . . . . . . . . . . . . . . . . . . . . . . .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 . . . . .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6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term (years) . . . . . . . . . . . . . . . . . . . . . . . . . . . . . . . . . . . . . . . . . . . . . .</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120" w:type="dxa"/>
            <w:vAlign w:val="bottom"/>
          </w:tcPr>
          <w:p>
            <w:pPr>
              <w:spacing w:after="0"/>
              <w:rPr>
                <w:sz w:val="22"/>
                <w:szCs w:val="22"/>
                <w:color w:val="auto"/>
              </w:rPr>
            </w:pPr>
          </w:p>
        </w:tc>
      </w:tr>
      <w:tr>
        <w:trPr>
          <w:trHeight w:val="26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 free interest rate . . . . . . . . . . . . . . . . . . . . . . . . . . . . . . . . . . . . . . . . . . . . .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941" w:right="1440" w:bottom="348"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STOCK INCENTIVE PLANS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ESPP Activity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purpose of determining the estimated fair value of ESPP shares, the Company uses the Black-Scholes option-pricing model. The assumptions under the Black-Scholes option-pricing model during the year ended December 31, 2023 and 2022 were as follows for ESPP awards: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00"/>
        </w:trPr>
        <w:tc>
          <w:tcPr>
            <w:tcW w:w="654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 . . . . . .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12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4.53%</w:t>
            </w:r>
          </w:p>
        </w:tc>
      </w:tr>
    </w:tbl>
    <w:p>
      <w:pPr>
        <w:spacing w:after="0" w:line="15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During the year ended December 31, 2023 , the Company recorded $0.4 million of stock-based compensation related to its ESPP. There was $0.1 million of unrecognized stock-based compensation expense for the year ended December 31, 2023, related to the ESPP that is expected to be recognized over an average vesting period of 0.36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Activity</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activity for nonvested Restricted Stock Units under the Plans was as follows for the year ended December 31, 2023,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540" w:type="dxa"/>
            <w:vAlign w:val="bottom"/>
          </w:tcPr>
          <w:p>
            <w:pPr>
              <w:spacing w:after="0"/>
              <w:rPr>
                <w:sz w:val="17"/>
                <w:szCs w:val="17"/>
                <w:color w:val="auto"/>
              </w:rPr>
            </w:pPr>
          </w:p>
        </w:tc>
        <w:tc>
          <w:tcPr>
            <w:tcW w:w="1440" w:type="dxa"/>
            <w:vAlign w:val="bottom"/>
            <w:gridSpan w:val="2"/>
          </w:tcPr>
          <w:p>
            <w:pPr>
              <w:jc w:val="right"/>
              <w:ind w:right="40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Date Fair Value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Nonvested, December 31, 2021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20,416,417</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(2,516,191)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(1,183,843)</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Nonvested, December 31, 2022 . . . . . . . . . . . . . . . .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16,716,383</w:t>
            </w:r>
          </w:p>
        </w:tc>
        <w:tc>
          <w:tcPr>
            <w:tcW w:w="18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11,158,301</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(7,678,184)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(3,852,909)</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w:t>
            </w: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Nonvested, December 31, 2023 . . . . . . . . . . . . . . . . .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16,343,591</w:t>
            </w:r>
          </w:p>
        </w:tc>
        <w:tc>
          <w:tcPr>
            <w:tcW w:w="1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recorded stock-based compensation expense of $1.3 million related to Performance-Based RSUs during the year ended December 31, 2023. Unamortized expense related to Performance-Based RSUs was $6.6 million as of December 31, 2023.</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To derive the fair value of Market-Based RSUs, the Company applies a Monte Carlo simulation to determine the grant date fair value. The assumptions under the Monte Carlo simulation model and the calculated fair value of the Market-Based RSUs granted to employees during the year ended December 31, 2022 were as follows. The Company did not grant Market-Based RSUs during the year ended December 31, 2023.</w:t>
      </w:r>
    </w:p>
    <w:p>
      <w:pPr>
        <w:spacing w:after="0" w:line="17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08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ind w:left="8440"/>
        <w:spacing w:after="0" w:line="232" w:lineRule="auto"/>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14605</wp:posOffset>
                </wp:positionV>
                <wp:extent cx="8001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5pt" to="462pt,1.15pt" o:allowincell="f" strokecolor="#000000" strokeweight="0.5pt"/>
            </w:pict>
          </mc:Fallback>
        </mc:AlternateContent>
      </w:r>
    </w:p>
    <w:p>
      <w:pPr>
        <w:spacing w:after="0" w:line="27"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color w:val="auto"/>
        </w:rPr>
        <w:t>Expected volatility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52%</w:t>
      </w:r>
    </w:p>
    <w:p>
      <w:pPr>
        <w:spacing w:after="0" w:line="30"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color w:val="auto"/>
        </w:rPr>
        <w:t>Expected term (years)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Drift rate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941" w:right="1440" w:bottom="348"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STOCK INCENTIVE PLANS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recorded $1.5 million and $1.1 million in stock-based compensation expense related to Market-Based RSUs during the year ended December 31, 2023 and 2022. Unamortized expense related to Market-Based RSUs was $0.6 million as of December 31, 2023. There were no Market-Based RSU’s granted during the year ended, December 31, 2023.</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and 2022, the fair value of RSUs that vested was $25.5 million and $12.0 million. During the year ended December 31, 2023 and 2022 the Company recorded $20.4 million and $19.0 million of stock-based compensation related to RSUs. As of December 31, 2023 and the unamortized expense related to RSUs was $50.5 million. The weighted average remaining amortization period over which the balance as of December 31, 2023 is to be amortized is 2.32 years.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Award Modifications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Restructuring Plan (as defined in Note 10), the Company entered into severance arrangements with 166 affected employees. Pursuant to these arrangements, these employees received acceleration of vesting of RSUs and extensions of the post-termination exercise period of stock option awards. All award modifications related to restructuring activities were expensed in the year ended December 31, 2023. The total incremental compensation cost resulting from these modifications is $3.2 million. There were no significant modifications during the years ended December 31, 2022 and December 31,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Costs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consolidated statements of operations and comprehensive loss for the year ended December 31, 2022.</w:t>
      </w:r>
    </w:p>
    <w:p>
      <w:pPr>
        <w:spacing w:after="0" w:line="15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Stock-based compensation is classified in the following expense accounts on the consolidated statements of operations and comprehensive loss for the years ended December 31, 2023, 2022 and 2021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Cost of revenue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Sales and marketing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11,992</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13,986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4,434</w:t>
            </w:r>
          </w:p>
        </w:tc>
      </w:tr>
      <w:tr>
        <w:trPr>
          <w:trHeight w:val="260"/>
        </w:trPr>
        <w:tc>
          <w:tcPr>
            <w:tcW w:w="5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Restructuring costs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27,931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LEASES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leases certain facilities under non-cancelable operating leases that expire at various dates through 2030.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60"/>
          </w:cols>
          <w:pgMar w:left="1440" w:top="941" w:right="1440" w:bottom="348"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Aggregate non-cancelable future minimum lease payments under operating and finance leases were as follows as of December 31,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Lease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Lease</w:t>
            </w:r>
          </w:p>
        </w:tc>
      </w:tr>
      <w:tr>
        <w:trPr>
          <w:trHeight w:val="248"/>
        </w:trPr>
        <w:tc>
          <w:tcPr>
            <w:tcW w:w="644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7"/>
              </w:rPr>
              <w:t>Year Ending December 31: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w:t>
            </w:r>
          </w:p>
        </w:tc>
        <w:tc>
          <w:tcPr>
            <w:tcW w:w="120" w:type="dxa"/>
            <w:vAlign w:val="bottom"/>
          </w:tcPr>
          <w:p>
            <w:pPr>
              <w:spacing w:after="0"/>
              <w:rPr>
                <w:sz w:val="22"/>
                <w:szCs w:val="2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20"/>
                <w:szCs w:val="20"/>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imputed interest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Present value of lease liabilities . . . . . . . . . . . . . . . . . . . . . . . . . . . . . . . . . . .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60" w:type="dxa"/>
            <w:vAlign w:val="bottom"/>
          </w:tcPr>
          <w:p>
            <w:pPr>
              <w:spacing w:after="0"/>
              <w:rPr>
                <w:sz w:val="20"/>
                <w:szCs w:val="20"/>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(2,637)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liabilities, net of current portion . . . . . . . . . . . . . . . . . . . . . . . . . . . . . . .</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components of lease cost were as follows during the years ended December 31, 2023, 2022 and 2021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 . . . . . . . . . . . . . .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3,177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3,654</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 . . . . . . . . . . . . . .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1,298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r>
      <w:tr>
        <w:trPr>
          <w:trHeight w:val="400"/>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Finance lease cost: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finance leased assets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Interest on lease liabilities . . . . . . . . . .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r>
    </w:tbl>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table below presents additional information related to our leases as of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10"/>
        </w:trPr>
        <w:tc>
          <w:tcPr>
            <w:tcW w:w="6540" w:type="dxa"/>
            <w:vAlign w:val="bottom"/>
          </w:tcPr>
          <w:p>
            <w:pPr>
              <w:spacing w:after="0"/>
              <w:rPr>
                <w:sz w:val="18"/>
                <w:szCs w:val="18"/>
                <w:color w:val="auto"/>
              </w:rPr>
            </w:pPr>
          </w:p>
        </w:tc>
        <w:tc>
          <w:tcPr>
            <w:tcW w:w="144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5"/>
              </w:rPr>
              <w:t>Lease</w:t>
            </w:r>
          </w:p>
        </w:tc>
        <w:tc>
          <w:tcPr>
            <w:tcW w:w="1380" w:type="dxa"/>
            <w:vAlign w:val="bottom"/>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Lease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 . . . . . . . . . . . . . . . . . . . . . . . . . .</w:t>
            </w:r>
          </w:p>
        </w:tc>
        <w:tc>
          <w:tcPr>
            <w:tcW w:w="12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3.67</w:t>
            </w:r>
          </w:p>
        </w:tc>
        <w:tc>
          <w:tcPr>
            <w:tcW w:w="18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 . . . . . . . . . . . . . . . . . . . . . . . . . . . . . . . . . . . . . .</w:t>
            </w:r>
          </w:p>
        </w:tc>
        <w:tc>
          <w:tcPr>
            <w:tcW w:w="144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5.83%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10.50%</w:t>
            </w:r>
          </w:p>
        </w:tc>
      </w:tr>
    </w:tbl>
    <w:p>
      <w:pPr>
        <w:spacing w:after="0" w:line="15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Company’s rent expense totaled approximately $5.3 million, $3.9 million and $4.2 million during the years ended December 31, 2023, 2022 and 2021,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OTHER INCOME (EXPENSE), NET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Other income (expense), net on the consolidated statements of operations and comprehensive loss is comprised of the following for the years ended December 31, 2023, 2022 and 2021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7"/>
                <w:szCs w:val="17"/>
                <w:color w:val="auto"/>
              </w:rPr>
            </w:pPr>
          </w:p>
        </w:tc>
      </w:tr>
      <w:tr>
        <w:trPr>
          <w:trHeight w:val="248"/>
        </w:trPr>
        <w:tc>
          <w:tcPr>
            <w:tcW w:w="5020" w:type="dxa"/>
            <w:vAlign w:val="bottom"/>
          </w:tcPr>
          <w:p>
            <w:pPr>
              <w:jc w:val="right"/>
              <w:ind w:right="2600"/>
              <w:spacing w:after="0"/>
              <w:rPr>
                <w:sz w:val="20"/>
                <w:szCs w:val="20"/>
                <w:color w:val="auto"/>
              </w:rPr>
            </w:pPr>
            <w:r>
              <w:rPr>
                <w:rFonts w:ascii="Times New Roman" w:cs="Times New Roman" w:eastAsia="Times New Roman" w:hAnsi="Times New Roman"/>
                <w:sz w:val="20"/>
                <w:szCs w:val="20"/>
                <w:color w:val="auto"/>
                <w:w w:val="99"/>
              </w:rPr>
              <w:t>Other income (expense), net: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 . . . . . . . . . . . . . . . . . . . . . . . . . . . . . . . . . . .</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w:t>
            </w:r>
          </w:p>
        </w:tc>
        <w:tc>
          <w:tcPr>
            <w:tcW w:w="12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12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and warrant liability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(606)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(4,920)</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change in fair value of ELOC program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(1,901)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(expense), net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(502)</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other income (expense), net . . . . . . . . . . . . . . . . . . .</w:t>
            </w:r>
          </w:p>
        </w:tc>
        <w:tc>
          <w:tcPr>
            <w:tcW w:w="8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(5,415)</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360"/>
          </w:cols>
          <w:pgMar w:left="1440" w:top="941" w:right="1440" w:bottom="348"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NET LOSS PER SHARE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calculation of basic and diluted net loss per share attributable to common stockholders for the years ended December 31, 2023,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7"/>
                <w:szCs w:val="17"/>
                <w:color w:val="auto"/>
              </w:rPr>
            </w:pPr>
          </w:p>
        </w:tc>
      </w:tr>
      <w:tr>
        <w:trPr>
          <w:trHeight w:val="248"/>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Numerator:</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(in thousands) . . . . . . . .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(88,937)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(116,713)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(79,540)</w:t>
            </w:r>
          </w:p>
        </w:tc>
      </w:tr>
      <w:tr>
        <w:trPr>
          <w:trHeight w:val="257"/>
        </w:trPr>
        <w:tc>
          <w:tcPr>
            <w:tcW w:w="50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Cumulative dividends attributable to Series A Preferred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Stock . . . . . . . . . . . . . . . . . . . . . . . . . . . . . . . . . . . . . . . .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(2,774)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SoundHound common shareholders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(in thousands) . . . . . . . . . . . . . . . . . . . . . . . . . . . . . . . . . . .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(91,711)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(116,713)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(79,540)</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Weighted average shares outstanding – basic and dilutive . .</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229,264,904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157,317,695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67,255,538</w:t>
            </w:r>
          </w:p>
        </w:tc>
        <w:tc>
          <w:tcPr>
            <w:tcW w:w="60" w:type="dxa"/>
            <w:vAlign w:val="bottom"/>
          </w:tcPr>
          <w:p>
            <w:pPr>
              <w:spacing w:after="0"/>
              <w:rPr>
                <w:sz w:val="22"/>
                <w:szCs w:val="22"/>
                <w:color w:val="auto"/>
              </w:rPr>
            </w:pP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Basic and diluted net loss per share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(0.74)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2022 and 2021, the diluted net loss per share is equal to the basic earnings per share as the effect of potentially dilutive securities would have been antidilutive.</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outstanding shares of potentially dilutive securities that were excluded from the calculation of diluted earnings per share because their inclusion would have been anti-dilutive for the years ended December 31, 2023,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1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12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Stock options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16,841,367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25,420,425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30,361,405</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Restricted stock units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16,343,591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16,716,383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Estimated ESPP stock units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299,116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476,636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Common stock warrants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6,967,532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3,665,996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1,063,214</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Redeemable convertible preferred stock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106,949,326</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Series A Preferred Stock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16,226,645</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56,678,251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46,279,440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138,373,945</w:t>
            </w: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INCOME TAXES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geographical breakdown of income (loss) before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Domestic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(86,724)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(116,964)</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(79,962)</w:t>
            </w: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60" w:type="dxa"/>
            <w:vAlign w:val="bottom"/>
          </w:tcPr>
          <w:p>
            <w:pPr>
              <w:spacing w:after="0"/>
              <w:rPr>
                <w:sz w:val="22"/>
                <w:szCs w:val="22"/>
                <w:color w:val="auto"/>
              </w:rPr>
            </w:pPr>
          </w:p>
        </w:tc>
      </w:tr>
      <w:tr>
        <w:trPr>
          <w:trHeight w:val="240"/>
        </w:trPr>
        <w:tc>
          <w:tcPr>
            <w:tcW w:w="50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(85,023)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(113,824)</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(79,084)</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360"/>
          </w:cols>
          <w:pgMar w:left="1440" w:top="941" w:right="1440" w:bottom="348"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provision for income taxes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5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Current provision:</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Federal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State. . . . . . . . . . . . . . . . . . . . . .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Foreign . . . . . . . . . . . . . . . . . . . . . . . . . . . . . . . . . . . . . . . . .</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current provision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Deferred provision:</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Federal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State. . . . . . . . . . . . . . . . . . . . . . . . . . . . . . . . . . . . . . . . . . . .</w:t>
            </w:r>
          </w:p>
        </w:tc>
        <w:tc>
          <w:tcPr>
            <w:tcW w:w="28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Foreign . . . . . . . . . . . . . . . . . . . . . . . . . . . . . . . . . . . . . . . . .</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deferred provision . . . . . . . . . . . . . . . . . . . . . . . . . . . .</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Total provision for income taxes . . . . . . . . . . . . . . . . . . . . . . . .</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9"/>
        </w:trPr>
        <w:tc>
          <w:tcPr>
            <w:tcW w:w="5100" w:type="dxa"/>
            <w:vAlign w:val="bottom"/>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w w:val="98"/>
              </w:rPr>
              <w:t>Effective income tax expense rate . . . . . . . . . . . . . . . . . . . . . . .</w:t>
            </w:r>
          </w:p>
        </w:tc>
        <w:tc>
          <w:tcPr>
            <w:tcW w:w="280" w:type="dxa"/>
            <w:vAlign w:val="bottom"/>
          </w:tcPr>
          <w:p>
            <w:pPr>
              <w:spacing w:after="0"/>
              <w:rPr>
                <w:sz w:val="17"/>
                <w:szCs w:val="17"/>
                <w:color w:val="auto"/>
              </w:rPr>
            </w:pPr>
          </w:p>
        </w:tc>
        <w:tc>
          <w:tcPr>
            <w:tcW w:w="1140" w:type="dxa"/>
            <w:vAlign w:val="bottom"/>
            <w:gridSpan w:val="3"/>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0"/>
                <w:szCs w:val="20"/>
                <w:color w:val="auto"/>
              </w:rPr>
              <w:t>(0.6)%</w:t>
            </w:r>
          </w:p>
        </w:tc>
      </w:tr>
    </w:tbl>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incurred net pre-tax losses in the United States only for all periods presented. The Company recorded an income tax expense of $3.9 million, $2.9 million, and $0.5 million for the years ended December 31, 2023, 2022, and 2021 respectively, which reflects withholding tax paid for sales to customers in foreign jurisdictions and income tax related to foreign subsidiaries.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provision for income taxes differed from the amount computed by applying the federal statutory rate to our income before income taxes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1"/>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Federal statutory income tax rate . . . . . . . . . . . . . . . . . . . . . . .</w:t>
            </w:r>
          </w:p>
        </w:tc>
        <w:tc>
          <w:tcPr>
            <w:tcW w:w="280" w:type="dxa"/>
            <w:vAlign w:val="bottom"/>
          </w:tcPr>
          <w:p>
            <w:pPr>
              <w:spacing w:after="0"/>
              <w:rPr>
                <w:sz w:val="21"/>
                <w:szCs w:val="21"/>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 at statutory rate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(17,855)</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(23,903)</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(16,608)</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 rate . . . . . . . . . . . . . . . . . . . . . . . . . . . . . . . . .</w:t>
            </w: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Foreign withholding and income tax. . . . . . . . . . . . . . . . . . . . .</w:t>
            </w: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Foreign rate differential . . . . . . . . . . . . . . . . . . . . . . . . . . . . . . .</w:t>
            </w:r>
          </w:p>
        </w:tc>
        <w:tc>
          <w:tcPr>
            <w:tcW w:w="280" w:type="dxa"/>
            <w:vAlign w:val="bottom"/>
          </w:tcPr>
          <w:p>
            <w:pPr>
              <w:spacing w:after="0"/>
              <w:rPr>
                <w:sz w:val="22"/>
                <w:szCs w:val="22"/>
                <w:color w:val="auto"/>
              </w:rPr>
            </w:pP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(136)</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(115)</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 . . . . . . . . . . . . . . . . . . . . . .</w:t>
            </w:r>
          </w:p>
        </w:tc>
        <w:tc>
          <w:tcPr>
            <w:tcW w:w="280" w:type="dxa"/>
            <w:vAlign w:val="bottom"/>
          </w:tcPr>
          <w:p>
            <w:pPr>
              <w:spacing w:after="0"/>
              <w:rPr>
                <w:sz w:val="22"/>
                <w:szCs w:val="22"/>
                <w:color w:val="auto"/>
              </w:rPr>
            </w:pP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(2,105)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(1,731)</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(1,605)</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w:t>
            </w: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18,604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 . . . . . . . . . . . . . . . . . . . . . . . . . . . .</w:t>
            </w: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Permanent book tax differences . . . . . . . . . . . . . . . . . . . . . . . .</w:t>
            </w:r>
          </w:p>
        </w:tc>
        <w:tc>
          <w:tcPr>
            <w:tcW w:w="2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Other deferred adjustments . . . . . . . . . . . . . . . . . . . . . . . . . . . .</w:t>
            </w:r>
          </w:p>
        </w:tc>
        <w:tc>
          <w:tcPr>
            <w:tcW w:w="280" w:type="dxa"/>
            <w:vAlign w:val="bottom"/>
          </w:tcPr>
          <w:p>
            <w:pPr>
              <w:spacing w:after="0"/>
              <w:rPr>
                <w:sz w:val="22"/>
                <w:szCs w:val="22"/>
                <w:color w:val="auto"/>
              </w:rPr>
            </w:pP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(1,701)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(230)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0"/>
        </w:trPr>
        <w:tc>
          <w:tcPr>
            <w:tcW w:w="5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941" w:right="1440" w:bottom="348"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our deferred tax assets and liabilities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operating loss carryforwards . . . . . . . . . . . . . . . . . . . . . . . . . . . . . . . . . .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89,880</w:t>
            </w:r>
          </w:p>
        </w:tc>
        <w:tc>
          <w:tcPr>
            <w:tcW w:w="12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Research and development credits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and equipment and intangible assets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174 research and development capitalization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Accruals and reserves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.Totaldeferredtaxassets..................................</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134,052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114,057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(132,873)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(112,204)</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deferred tax assets, net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Right-of-use assets . . . . . . . . . . . . . . . . . . . . . . . . . . . . . . . . . . . . . . . . . . . . .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(1,811)</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deferred tax assets . . . .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Recorded as:</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Non-current deferred tax assets . . . . . . . . . . . . . . . . . . . . . . . . . . . . . . . . . . .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12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Non-current deferred tax liabilities (included as a component of other</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non-current liabilities). . . . . . . . . . . . . . . .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deferred tax assets . . . .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Based on available objective evidence, management believes it is more-likely-than-not that the domestic federal and state deferred tax assets; and excess Canadian SR&amp;ED tax credits will not be fully realized due to the Company’s cumulative losses arising in the United States, and its inability to utilize excess tax credits in Canada. Accordingly, the Company has recorded a valuation allowance on deferred tax assets in excess of deferred tax liabilities against its federal and state deferred tax assets and excess Canadian SR&amp;ED tax credits as of December 31, 2023, and 2022. The valuation allowance increased by $20.7 million from the year ended December 31, 2022 to December 31, 2023.</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capitalized research and development expenditures incurred during the years ended December 31, 2023 and 2022, and amortizes such expenditures over 5 or 15 years, as applicable, pursuant to Section 174 of the Internal Revenue Code as required by the 2017 Tax Cuts and Jobs Act. The mandatory capitalization requirement did not have a material impact on our net deferred tax assets or cash tax liabilities.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has not provided U.S. income or foreign withholding taxes on the undistributed earnings of its foreign subsidiaries as of December 31, 2023 because it intends to indefinitely reinvest such earnings outside of the U.S. If these foreign earnings were to be repatriated in the future, the related U.S. tax liability will not be material.</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2023, the Company had net operating loss carryforwards of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360"/>
          </w:cols>
          <w:pgMar w:left="1440" w:top="941" w:right="1440" w:bottom="348"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had federal and state research and development credit carryforwards of $14.4 million and $10.9 million, respectively, as of December 31, 2023. The federal credits will expire starting in 2029 if not utilized. The state credits can be carried forward indefinitely. The Company also had Canadian SR&amp;ED tax credits of $1.7 million, which will expire starting in 2038 if not utilized.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files U.S. federal income tax returns as well as income tax returns in many U.S. states and foreign jurisdictions. As of December 31, 2023, the tax years 2005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gross unrecognized tax benefits during the periods presented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2020 . . . . . . . . . . . . . . . . . . . . . . . . . . . . . . . . . . . . . . . . . . . . . . . . . . . .</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4,301</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prior years . . . . . . . . . . . . . . . . . . . . . . . . . . . . . . . . . . . . . . . . . . . . .</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current year . . . . . . . . . . . . . . . . . . . . . . . . . . . . . . . . . . . . . . . . . . . .</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w:t>
            </w: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2021 . . . . . . . . . . . . . . . . . . . . . . . . . . . . . . . . . . . . . . . . . . . . . . . . . . . .</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5,068</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prior years . . . . . . . . . . . . . . . . . . . . . . . . . . . . . . . . . . . . . . . . . . . . .</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current year . . . . . . . . . . . . . . . . . . . . . . . . . . . . . . . . . . . . . . . . . . . .</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w:t>
            </w: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2022 . . . . . . . . . . . . . . . . . . . . . . . . . . . . . . . . . . . . . . . . . . . . . . . . . . . .</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prior years . . . . . . . . . . . . . . . . . . . . . . . . . . . . . . . . . . . . . . . . . . . . .</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current year . . . . . . . . . . . . . . . . . . . . . . . . . . . . . . . . . . . . . . . . . . . .</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2023 . . . . . . . . . . . . . . . . . . . . . . . . . . . . . . . . . . . . . . . . . . . . . . . . . . . .</w:t>
            </w:r>
          </w:p>
        </w:tc>
        <w:tc>
          <w:tcPr>
            <w:tcW w:w="4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7,595</w:t>
            </w: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unrecognized tax benefits, if recognized, would not affect the effective tax rate and would be offset by the reversal of related deferred tax assets which are subject to a full valuation allowance. As of December 31, 2023, the Company has not accrued any interest or penalties. The Company does not anticipate any significant change in the Company’s uncertain tax positions within 12 months of this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RELATED PARTY TRANSACTIONS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entered into revenue contracts to perform professional services for certain companies who are also investors in the Company. As of June 30, 2022, these entities are no longer related parties. Below we provide our disclosures for transactions with the companies through June 30, 2022.</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2022 and 2021, we recognized revenue from the companies of $5.2 million and $7.0 million, respectively.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On January 20, 2023, our Chief Financial Officer and one of our directors each entered into Purchase Agreements, purchasing 3,334 shares of Series A Preferred Stock each for a total purchase price of $100,000 each.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REVISION OF PREVIOUSLY ISSUED FINANCIAL STATEMENTS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During the period ended September 30, 2023, the Company identified immaterial prior period errors related to the following: 1) accounting for the ELOC as a derivative instrument; 2) classification of Lender Fees and allocation of the warrants in connection with the Term Loan; and 3) the incorrect recording of in-kind dividends associated with the Company’s Series A Preferred Stock. The identified errors were included in the Company’s previously issued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941" w:right="1440" w:bottom="348"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20. REVISION OF PREVIOUSLY ISSUED FINANCIAL STATEMENTS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quarterly unaudited condensed consolidated financial statements for the three and six months ended June 30, 2023, the three months ended March 31, 2023 and annual consolidated financial statements as of and for the year ended December 31, 2022.</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accordance with SEC Staff Accounting Bulletin No. 99, “Materiality,” and SEC Staff Accounting Bulletin No. 108, “Considering the Effects of Prior Year Misstatements when Quantifying Misstatements in Current Year Financial Statements;” the Company evaluated the errors and determined that the related impacts were not material to its consolidated financial statements for the prior year periods when they occurred, but the Company determined it would be appropriate to correct the errors in the current period in the Company’s consolidated statements of operations and comprehensive loss, consolidated balance sheets, consolidated statements of cash flows or consolidated statements of redeemable convertible preferred stock and stockholders’ deficit for any periods impacted.</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revised the previously issued condensed consolidated statements of operations and comprehensive loss, condensed consolidated balance sheets, condensed consolidated statements of cash flows and condensed consolidated statements of redeemable convertible preferred stock and stockholders’ deficit tables as of and for the three and six months ended June 30, 2023 and as of and for the three months ended March 31, 2023 as well as the previously issued consolidated statements of operations and comprehensive loss, consolidated balance sheets, consolidated statements of cash flows and consolidated statements of redeemable convertible preferred stock and stockholders’ deficit tables and as of and for the year ended December 31, 2022 to correct for such errors. All relevant prior period amounts affected by these revisions have been corrected in the notes in this Form 10-K.</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tables reflect the impact of these revisions on the Company’s unaudited condensed consolidated financial statements as of and for the three and six months ended June 30, 2023 (</w:t>
      </w:r>
      <w:r>
        <w:rPr>
          <w:rFonts w:ascii="Times New Roman" w:cs="Times New Roman" w:eastAsia="Times New Roman" w:hAnsi="Times New Roman"/>
          <w:sz w:val="20"/>
          <w:szCs w:val="20"/>
          <w:i w:val="1"/>
          <w:iCs w:val="1"/>
          <w:color w:val="auto"/>
        </w:rPr>
        <w:t>dollars in thousands, except per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amounts</w:t>
      </w:r>
      <w:r>
        <w:rPr>
          <w:rFonts w:ascii="Times New Roman" w:cs="Times New Roman" w:eastAsia="Times New Roman" w:hAnsi="Times New Roman"/>
          <w:sz w:val="20"/>
          <w:szCs w:val="20"/>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line="201" w:lineRule="exact"/>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Accrued liabilities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16,381</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(2,872)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13,509</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(2,872)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24,131</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payable, net of current portion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82,300</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non-current liabilities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16,824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(12,821)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4,003</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liabilities.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118,789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118,968</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paid-in capital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564,197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567,794</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(550,403)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(554,179)</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stockholders’ equity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38,610</w:t>
            </w:r>
          </w:p>
        </w:tc>
        <w:tc>
          <w:tcPr>
            <w:tcW w:w="6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liabilities and stockholders’ equity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157,578</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157,578</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941" w:right="1440" w:bottom="348"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20. REVISION OF PREVIOUSLY ISSUED FINANCIAL STATEMENTS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r>
      <w:tr>
        <w:trPr>
          <w:trHeight w:val="197"/>
        </w:trPr>
        <w:tc>
          <w:tcPr>
            <w:tcW w:w="49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7"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6,377</w:t>
            </w:r>
          </w:p>
        </w:tc>
        <w:tc>
          <w:tcPr>
            <w:tcW w:w="12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6,424</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(16,483)</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 net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(835)</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expense, net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(5,079)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(6,407)</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before provision for income taxes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(21,515)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(22,890)</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(21,932)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(23,307)</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Less: accrual of Series A Preferred Stock paid-in-kind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1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dividends . . . . . . . . . . . . .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(877)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(877)</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loss attributable to common stockholders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(21,932)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(2,252)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(24,184)</w:t>
            </w:r>
          </w:p>
        </w:tc>
      </w:tr>
      <w:tr>
        <w:trPr>
          <w:trHeight w:val="4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(0.11)</w:t>
            </w:r>
          </w:p>
        </w:tc>
      </w:tr>
      <w:tr>
        <w:trPr>
          <w:trHeight w:val="45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2023</w:t>
            </w:r>
          </w:p>
        </w:tc>
      </w:tr>
      <w:tr>
        <w:trPr>
          <w:trHeight w:val="197"/>
        </w:trPr>
        <w:tc>
          <w:tcPr>
            <w:tcW w:w="49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13,502</w:t>
            </w:r>
          </w:p>
        </w:tc>
        <w:tc>
          <w:tcPr>
            <w:tcW w:w="12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13,713</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(41,474)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(41,685)</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 net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(2,225)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(1,638)</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expense, net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(6,081)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(2,225)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(8,306)</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before provision for income taxes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(47,555)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(49,991)</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(48,301)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(50,737)</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Less: accrual of Series A Preferred Stock paid-in-kind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1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dividends . . . . . . . . . . . . .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(1,559)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(1,559)</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loss attributable to common stockholders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(48,301)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(3,995)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(52,296)</w:t>
            </w:r>
          </w:p>
        </w:tc>
      </w:tr>
      <w:tr>
        <w:trPr>
          <w:trHeight w:val="4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(0.25)</w:t>
            </w:r>
          </w:p>
        </w:tc>
      </w:tr>
      <w:tr>
        <w:trPr>
          <w:trHeight w:val="45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r>
      <w:tr>
        <w:trPr>
          <w:trHeight w:val="197"/>
        </w:trPr>
        <w:tc>
          <w:tcPr>
            <w:tcW w:w="49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7"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Additional paid-in capital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564,197</w:t>
            </w:r>
          </w:p>
        </w:tc>
        <w:tc>
          <w:tcPr>
            <w:tcW w:w="12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3,597</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567,794</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(550,403)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(554,179)</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(21,932)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(1,375)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(23,307)</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941" w:right="1440" w:bottom="348"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20. REVISION OF PREVIOUSLY ISSUED FINANCIAL STATEMENTS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0"/>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line="201" w:lineRule="exact"/>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(48,301)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(2,436)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(50,737)</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49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change in fair value of ELOC program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w:t>
            </w:r>
          </w:p>
        </w:tc>
        <w:tc>
          <w:tcPr>
            <w:tcW w:w="6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non-current assets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5,295</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(33,651)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(34,201)</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sales of common stock under the ELOC</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1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program, net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70,905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71,455</w:t>
            </w:r>
          </w:p>
        </w:tc>
        <w:tc>
          <w:tcPr>
            <w:tcW w:w="60" w:type="dxa"/>
            <w:vAlign w:val="bottom"/>
          </w:tcPr>
          <w:p>
            <w:pPr>
              <w:spacing w:after="0"/>
              <w:rPr>
                <w:sz w:val="19"/>
                <w:szCs w:val="19"/>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cash provided by financing activities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154,008</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12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154,558</w:t>
            </w:r>
          </w:p>
        </w:tc>
        <w:tc>
          <w:tcPr>
            <w:tcW w:w="60" w:type="dxa"/>
            <w:vAlign w:val="bottom"/>
          </w:tcPr>
          <w:p>
            <w:pPr>
              <w:spacing w:after="0"/>
              <w:rPr>
                <w:sz w:val="22"/>
                <w:szCs w:val="22"/>
                <w:color w:val="auto"/>
              </w:rPr>
            </w:pPr>
          </w:p>
        </w:tc>
      </w:tr>
      <w:tr>
        <w:trPr>
          <w:trHeight w:val="4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Noncash financing activities: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Accrued and unpaid debt issuance costs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16,461</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(16,461)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Non-cash debt discount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4,136</w:t>
            </w:r>
          </w:p>
        </w:tc>
        <w:tc>
          <w:tcPr>
            <w:tcW w:w="60" w:type="dxa"/>
            <w:vAlign w:val="bottom"/>
          </w:tcPr>
          <w:p>
            <w:pPr>
              <w:spacing w:after="0"/>
              <w:rPr>
                <w:sz w:val="22"/>
                <w:szCs w:val="22"/>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to settle commitment shares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49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related to the ELOC program . . . . . . . . . . . . . . . . . . . . . . . .</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915</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915</w:t>
            </w:r>
          </w:p>
        </w:tc>
        <w:tc>
          <w:tcPr>
            <w:tcW w:w="60" w:type="dxa"/>
            <w:vAlign w:val="bottom"/>
          </w:tcPr>
          <w:p>
            <w:pPr>
              <w:spacing w:after="0"/>
              <w:rPr>
                <w:sz w:val="19"/>
                <w:szCs w:val="19"/>
                <w:color w:val="auto"/>
              </w:rPr>
            </w:pPr>
          </w:p>
        </w:tc>
      </w:tr>
    </w:tbl>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tables reflect the impact of these revisions on the Company’s unaudited condensed consolidated financial statements as of and for the three months ended March 31, 2023 (</w:t>
      </w:r>
      <w:r>
        <w:rPr>
          <w:rFonts w:ascii="Times New Roman" w:cs="Times New Roman" w:eastAsia="Times New Roman" w:hAnsi="Times New Roman"/>
          <w:sz w:val="20"/>
          <w:szCs w:val="20"/>
          <w:i w:val="1"/>
          <w:iCs w:val="1"/>
          <w:color w:val="auto"/>
        </w:rPr>
        <w:t>dollars in thousands, except per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amounts</w:t>
      </w:r>
      <w:r>
        <w:rPr>
          <w:rFonts w:ascii="Times New Roman" w:cs="Times New Roman" w:eastAsia="Times New Roman" w:hAnsi="Times New Roman"/>
          <w:sz w:val="20"/>
          <w:szCs w:val="20"/>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Other non-current assets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72,371</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paid-in capital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505,889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507,858</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(528,471)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(2,401)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(530,872)</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stockholders’ deficit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w:t>
            </w:r>
          </w:p>
        </w:tc>
        <w:tc>
          <w:tcPr>
            <w:tcW w:w="6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liabilities and stockholders’ deficit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72,803</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72,371</w:t>
            </w:r>
          </w:p>
        </w:tc>
        <w:tc>
          <w:tcPr>
            <w:tcW w:w="60" w:type="dxa"/>
            <w:vAlign w:val="bottom"/>
          </w:tcPr>
          <w:p>
            <w:pPr>
              <w:spacing w:after="0"/>
              <w:rPr>
                <w:sz w:val="22"/>
                <w:szCs w:val="22"/>
                <w:color w:val="auto"/>
              </w:rPr>
            </w:pPr>
          </w:p>
        </w:tc>
      </w:tr>
      <w:tr>
        <w:trPr>
          <w:trHeight w:val="45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r>
      <w:tr>
        <w:trPr>
          <w:trHeight w:val="197"/>
        </w:trPr>
        <w:tc>
          <w:tcPr>
            <w:tcW w:w="49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7"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7,290</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(25,038)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(25,203)</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 net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(802)</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expense, net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(1,898)</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before provision for income taxes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(26,040)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(27,101)</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(26,369)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(27,430)</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Less: accrual of Series A Preferred Stock paid-in-kind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1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dividends . . . . . . . . . . . . .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(682)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(682)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loss attributable to common stockholders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(26,369)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(1,743)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(28,112)</w:t>
            </w:r>
          </w:p>
        </w:tc>
      </w:tr>
      <w:tr>
        <w:trPr>
          <w:trHeight w:val="4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(0.14)</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360"/>
          </w:cols>
          <w:pgMar w:left="1440" w:top="941" w:right="1440" w:bottom="348"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20. REVISION OF PREVIOUSLY ISSUED FINANCIAL STATEMENTS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r>
      <w:tr>
        <w:trPr>
          <w:trHeight w:val="197"/>
        </w:trPr>
        <w:tc>
          <w:tcPr>
            <w:tcW w:w="51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tc>
        <w:tc>
          <w:tcPr>
            <w:tcW w:w="12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 w:type="dxa"/>
            <w:vAlign w:val="bottom"/>
          </w:tcPr>
          <w:p>
            <w:pPr>
              <w:spacing w:after="0"/>
              <w:rPr>
                <w:sz w:val="18"/>
                <w:szCs w:val="18"/>
                <w:color w:val="auto"/>
              </w:rPr>
            </w:pPr>
          </w:p>
        </w:tc>
        <w:tc>
          <w:tcPr>
            <w:tcW w:w="1260" w:type="dxa"/>
            <w:vAlign w:val="bottom"/>
            <w:tcBorders>
              <w:bottom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Additional paid-in capital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505,889</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507,858</w:t>
            </w:r>
          </w:p>
        </w:tc>
        <w:tc>
          <w:tcPr>
            <w:tcW w:w="60" w:type="dxa"/>
            <w:vAlign w:val="bottom"/>
          </w:tcPr>
          <w:p>
            <w:pPr>
              <w:spacing w:after="0"/>
              <w:rPr>
                <w:sz w:val="19"/>
                <w:szCs w:val="19"/>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(528,471)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(2,401)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(530,872)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(26,369)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(27,430)</w:t>
            </w:r>
          </w:p>
        </w:tc>
      </w:tr>
      <w:tr>
        <w:trPr>
          <w:trHeight w:val="459"/>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line="201" w:lineRule="exact"/>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(26,369)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(27,430)</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49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change in fair value of ELOC program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6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non-current assets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4,556</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(14,467)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(14,540)</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 of financing costs associated with ELOC program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sales of common stock under the ELOC</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1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program, net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28,360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28,683</w:t>
            </w:r>
          </w:p>
        </w:tc>
        <w:tc>
          <w:tcPr>
            <w:tcW w:w="60" w:type="dxa"/>
            <w:vAlign w:val="bottom"/>
          </w:tcPr>
          <w:p>
            <w:pPr>
              <w:spacing w:after="0"/>
              <w:rPr>
                <w:sz w:val="19"/>
                <w:szCs w:val="19"/>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cash provided by financing activities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51,568</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51,641</w:t>
            </w:r>
          </w:p>
        </w:tc>
        <w:tc>
          <w:tcPr>
            <w:tcW w:w="60" w:type="dxa"/>
            <w:vAlign w:val="bottom"/>
          </w:tcPr>
          <w:p>
            <w:pPr>
              <w:spacing w:after="0"/>
              <w:rPr>
                <w:sz w:val="22"/>
                <w:szCs w:val="22"/>
                <w:color w:val="auto"/>
              </w:rPr>
            </w:pPr>
          </w:p>
        </w:tc>
      </w:tr>
      <w:tr>
        <w:trPr>
          <w:trHeight w:val="4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Noncash financing activities: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to settle commitment shares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49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related to the ELOC program . . . . . . . . . . . . . . . . . . . . . . . .</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915</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915</w:t>
            </w:r>
          </w:p>
        </w:tc>
        <w:tc>
          <w:tcPr>
            <w:tcW w:w="60" w:type="dxa"/>
            <w:vAlign w:val="bottom"/>
          </w:tcPr>
          <w:p>
            <w:pPr>
              <w:spacing w:after="0"/>
              <w:rPr>
                <w:sz w:val="19"/>
                <w:szCs w:val="19"/>
                <w:color w:val="auto"/>
              </w:rPr>
            </w:pPr>
          </w:p>
        </w:tc>
      </w:tr>
    </w:tbl>
    <w:p>
      <w:pPr>
        <w:spacing w:after="0" w:line="15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tables reflect the impact of these revisions on the Company’s consolidated financial statements as of and for the year ended December 31, 2022 (</w:t>
      </w:r>
      <w:r>
        <w:rPr>
          <w:rFonts w:ascii="Times New Roman" w:cs="Times New Roman" w:eastAsia="Times New Roman" w:hAnsi="Times New Roman"/>
          <w:sz w:val="20"/>
          <w:szCs w:val="20"/>
          <w:i w:val="1"/>
          <w:iCs w:val="1"/>
          <w:color w:val="auto"/>
        </w:rPr>
        <w:t>dollars in thousands, except per share amounts</w:t>
      </w:r>
      <w:r>
        <w:rPr>
          <w:rFonts w:ascii="Times New Roman" w:cs="Times New Roman" w:eastAsia="Times New Roman" w:hAnsi="Times New Roman"/>
          <w:sz w:val="20"/>
          <w:szCs w:val="20"/>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line="201" w:lineRule="exact"/>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Other non-current assets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8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(265)</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37,986</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38,571</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paid-in capital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466,857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466,857</w:t>
            </w: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deficit . . . . . . . . . . . . . . . . . . . . . . . . . . . . . . . . .</w:t>
            </w:r>
          </w:p>
        </w:tc>
        <w:tc>
          <w:tcPr>
            <w:tcW w:w="10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(502,102)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(1,340)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(503,442)</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stockholders’ deficit . . . . . . . . . . . . . . . . . . . . . . . . . . . . .</w:t>
            </w:r>
          </w:p>
        </w:tc>
        <w:tc>
          <w:tcPr>
            <w:tcW w:w="10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(35,225)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(1,340)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(36,565)</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liabilities and stockholders’ deficit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38,251</w:t>
            </w:r>
          </w:p>
        </w:tc>
        <w:tc>
          <w:tcPr>
            <w:tcW w:w="8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37,986</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941" w:right="1440" w:bottom="348"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20. REVISION OF PREVIOUSLY ISSUED FINANCIAL STATEMENTS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r>
      <w:tr>
        <w:trPr>
          <w:trHeight w:val="197"/>
        </w:trPr>
        <w:tc>
          <w:tcPr>
            <w:tcW w:w="49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7"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2"/>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2"/>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30,178</w:t>
            </w:r>
          </w:p>
        </w:tc>
        <w:tc>
          <w:tcPr>
            <w:tcW w:w="12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30,443</w:t>
            </w:r>
          </w:p>
        </w:tc>
        <w:tc>
          <w:tcPr>
            <w:tcW w:w="60" w:type="dxa"/>
            <w:vAlign w:val="bottom"/>
          </w:tcPr>
          <w:p>
            <w:pPr>
              <w:spacing w:after="0"/>
              <w:rPr>
                <w:sz w:val="21"/>
                <w:szCs w:val="2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(105,407)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(105,672)</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 net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(1,259)</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other expense, net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(7,077)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(8,152)</w:t>
            </w: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before provision for income taxes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(112,484)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(113,824)</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(115,373)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(116,713)</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(0.74)</w:t>
            </w:r>
          </w:p>
        </w:tc>
      </w:tr>
      <w:tr>
        <w:trPr>
          <w:trHeight w:val="459"/>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Statement of Stockholders’ Equity (Deficit)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2"/>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2"/>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Accumulated deficit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(502,102)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(503,442)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(115,373)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(116,713)</w:t>
            </w:r>
          </w:p>
        </w:tc>
      </w:tr>
      <w:tr>
        <w:trPr>
          <w:trHeight w:val="459"/>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2"/>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2"/>
              <w:spacing w:after="0" w:line="20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60" w:type="dxa"/>
            <w:vAlign w:val="bottom"/>
          </w:tcPr>
          <w:p>
            <w:pPr>
              <w:spacing w:after="0"/>
              <w:rPr>
                <w:sz w:val="18"/>
                <w:szCs w:val="18"/>
                <w:color w:val="auto"/>
              </w:rPr>
            </w:pP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(115,373)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(116,713)</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49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change in fair value of ELOC program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6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non-current assets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cash used in operating activities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(94,019)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(94,019)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21. SUBSEQUENT EVENTS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SYNQ3 Acquisition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January 3, 2024, the Company acquired all of the issued and outstanding equity of Sync3, Inc. (“SYNQ3”), a leading provider of voice AI and other technology solutions to the restaurant industry, for total consideration of approximately $5.0 million in cash, subject to customary net working capital adjustments, and 8,968,610 shares of the Company’s Class A Common Stock. The Company has agreed to pay up to $4.0 million of additional consideration in cash and shares of Class A Common Stock to certain stockholders of SYNQ3 based on tiered annual revenue targets for each fiscal year 2024, 2025 and 2026, of which 20% is to be paid in cash and the remaining in the Company’s Class A Common Stock. The stock consideration was based on a reference value of $2.23 per share upon the execution of the merger agreement dated December 6, 2023. In connection with closing, approximately $0.5 million of additional consideration in cash and 1,179,524 shares of Class A Common Stock are being withheld for a period of 15 months to partially secure the indemnification obligations of SYNQ3’s stockholders under the merger agreement.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360"/>
          </w:cols>
          <w:pgMar w:left="1440" w:top="941" w:right="1440" w:bottom="348"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21. SUBSEQUENT EVENTS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Conversion of Preferred Stock Series A</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On January 12, 2024, one investor optionally converted 35,000 shares of preferred stock into 1,199,364 shares of Class A Common Stock. The conversion was pursuant to the original terms of the agreement and therefore the carrying value of Series A Preferred Stock was converted into Class A Common Stock with no gain or loss upon conversion.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Agreement Issuance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January and February 2024, the Company sold 34,578,019 shares of our common stock under the Sales Agreement, at an average price of $3.37 per share and raised $116.4 million of gross proceeds. The commissions and offering costs borne by the Company were approximately $2.9 million. Following this issuance, the Company has a remaining capacity to sell up to an additional $20.8 million of the Company’s common stock under the Sales Agreement.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360"/>
          </w:cols>
          <w:pgMar w:left="1440" w:top="941" w:right="1440" w:bottom="348"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Management performed, with the participation of the Chief Executive Officer (CEO) and the Chief Financial Officer (CFO), an evaluation of the effectiveness of the Company’s disclosure controls and procedures as defined in Rules 13a-15(e) and 15d-15(e) of the Exchange Act as of the end of the period covered by this Annual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the Chief Executive Officer and Chief Financial Officer concluded that the Company’s disclosure controls and procedures were not effective as of December 31, 2023 due to the material weaknesses in its internal control over financial reporting described below.</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However, after giving full consideration to the material weaknesses described below, and the additional analyses and other procedures management performed to ensure that its consolidated financial statements included in this Annual Report were prepared in accordance with U.S. GAAP, the Company’s management has concluded that its consolidated financial statements present fairly, in all material respects, its financial position, results of operations and cash flows for the periods disclosed in conformity with U.S. GAAP.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Securities Exchange Act of 1934, as amended). Our management assessed the effectiveness of our internal control over financial reporting as of December 31, 2023. In making this assessment, our management used the criteria established in Internal Control — Integrated Framework (2013) issued by the Committee of Sponsoring Organizations of the Treadway Commission. 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as of December 31, 2023:</w:t>
      </w:r>
    </w:p>
    <w:p>
      <w:pPr>
        <w:spacing w:after="0" w:line="180" w:lineRule="exact"/>
        <w:rPr>
          <w:sz w:val="20"/>
          <w:szCs w:val="20"/>
          <w:color w:val="auto"/>
        </w:rPr>
      </w:pPr>
    </w:p>
    <w:p>
      <w:pPr>
        <w:ind w:left="960" w:hanging="480"/>
        <w:spacing w:after="0" w:line="243" w:lineRule="auto"/>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to verify appropriate accounting for complex financing transactions.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941" w:right="1440" w:bottom="348" w:gutter="0" w:footer="0" w:header="0"/>
          <w:type w:val="continuous"/>
        </w:sectPr>
      </w:pPr>
    </w:p>
    <w:bookmarkStart w:id="120" w:name="page121"/>
    <w:bookmarkEnd w:id="120"/>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Because of these material weaknesses, management concluded that the Company did not maintain effective internal control over financial reporting as of December 31, 2023.</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2023 has been audited by PricewaterhouseCoopers LLP, an independent registered public accounting firm, as stated in their report which appears under Item 8.</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 Efforts for the Material Weaknesses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are in the process of designing and implementing controls and taking other actions to remediate the material weaknesses described above. Specifically, during the quarter ended December 31, 2023, we implemented measures designed to improve our internal control over financial reporting to remediate the material weaknesses, including the following:</w:t>
      </w:r>
    </w:p>
    <w:p>
      <w:pPr>
        <w:spacing w:after="0" w:line="169" w:lineRule="exact"/>
        <w:rPr>
          <w:sz w:val="20"/>
          <w:szCs w:val="20"/>
          <w:color w:val="auto"/>
        </w:rPr>
      </w:pPr>
    </w:p>
    <w:p>
      <w:pPr>
        <w:ind w:left="960" w:hanging="480"/>
        <w:spacing w:after="0" w:line="243"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Engaged a third party to perform a risk assessment that includes the identification and walkthrough of key business processes and conducting design and operational control testing to address key risks.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a segregation of duties assessment identifying key conflicts and mitigating controls.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the design and implementation of a Segregation of Duties automated tool for our Enterprise Resource Planning (ERP) system. We also began the design and implementation of similar controls for the remaining financially relevant applications.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3"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Developed policies and procedures for the quarterly user access review of all users with access to the financially relevant systems and then implemented the quarterly user access review for one design cycle.</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the design and implementation of the controls related to review and approval of complex financing transactions.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the implementation of an automated month and quarter-end accounting close workflow tool to facilitate the review and support of key financial close process controls.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described above in the section “Remediation Efforts for the Material Weaknesses,” there were changes in our internal control over financial reporting during the quarterly period ended December 31, 2023 that have materially affected, or are reasonably likely to materially affect, our internal control over financial reporting.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360"/>
          </w:cols>
          <w:pgMar w:left="1440" w:top="948" w:right="1440" w:bottom="348" w:gutter="0" w:footer="0" w:header="0"/>
          <w:type w:val="continuous"/>
        </w:sectPr>
      </w:pPr>
    </w:p>
    <w:bookmarkStart w:id="121" w:name="page122"/>
    <w:bookmarkEnd w:id="121"/>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Insider Trading Arrangements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fiscal quarter ended December 31, 2023, the following Section 16 officers and directors adopted, modified or terminated a “Rule 10b5-1 trading arrangement” (as defined in Item 408 of Regulation S-K of the Exchange Act):</w:t>
      </w:r>
    </w:p>
    <w:p>
      <w:pPr>
        <w:spacing w:after="0" w:line="173" w:lineRule="exact"/>
        <w:rPr>
          <w:sz w:val="20"/>
          <w:szCs w:val="20"/>
          <w:color w:val="auto"/>
        </w:rPr>
      </w:pPr>
    </w:p>
    <w:p>
      <w:pPr>
        <w:jc w:val="both"/>
        <w:ind w:left="960" w:hanging="480"/>
        <w:spacing w:after="0" w:line="264" w:lineRule="auto"/>
        <w:tabs>
          <w:tab w:leader="none" w:pos="9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 Keyvan Mohajer, Chief Executive Officer and Director, adopted a new trading plan on December 12, 2023 (with the first trade under the new plan not to be made prior to March 12, 2024). The trading plan will be effective until June 7, 2024 and provides for the sale of up to 1,800,000 shares of Dr. Mohajer’s 15,439,064 shares of Class B common stock. up to 833,435 shares of Class A common stock issuable upon exercise of outstanding options, and up to 355,000 shares of Class A common stock issuable upon vesting and settlement of certain RSUs and PSUs, provided that certain conditions are met.</w:t>
      </w:r>
    </w:p>
    <w:p>
      <w:pPr>
        <w:spacing w:after="0" w:line="158" w:lineRule="exact"/>
        <w:rPr>
          <w:rFonts w:ascii="Times New Roman" w:cs="Times New Roman" w:eastAsia="Times New Roman" w:hAnsi="Times New Roman"/>
          <w:sz w:val="19"/>
          <w:szCs w:val="19"/>
          <w:color w:val="auto"/>
        </w:rPr>
      </w:pPr>
    </w:p>
    <w:p>
      <w:pPr>
        <w:jc w:val="both"/>
        <w:ind w:left="960" w:hanging="480"/>
        <w:spacing w:after="0" w:line="249" w:lineRule="auto"/>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Seyed Majid Emami, Chief Science Officer and Senior Vice President of Engineering, adopted a new trading plan on December 8, 2023 (with the first trade under the new plan not to be made prior to March 8, 2024). The trading plan will be effective until November 30, 2024 and provides for the sale of up to 1,950,000 shares of Dr. Emami’s 18,033,756 shares of Class B common stock and up to 666,748 shares of Class A common stock issuable upon exercise of outstanding options, provided that certain conditions are met.</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James M. Hom, Chief Product Officer and Director, adopted a new trading plan on December 8, 2023 (with the first trade under the new plan not to be made prior to March 8, 2024). The trading plan will be effective until May 31, 2024 and provides for the sale of up to 2,000,000 shares of Mr. Hom’s 4,012,588 shares of Class B common stock and up to 100,000 shares of Class A common stock issuable upon vesting and settlement of certain RSUs and PSUs, provided that certain conditions are met.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There were no “non-Rule 10b5-1 trading arrangements” (as defined in Item 408 of Regulation S-K of the Exchange Act) adopted, modified or terminated during the fiscal quarter ended December 31, 2023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360"/>
          </w:cols>
          <w:pgMar w:left="1440" w:top="941" w:right="1440" w:bottom="348"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information required by Part III is omitted from this Annual Report in that we will file a definitive proxy statement pursuant to Regulation 14A with respect to our 2024 Annual Meeting (the “Proxy Statement”) no later than 120 days after the end of the fiscal year covered by this Annual Report, and certain information included therein is incorporated herein by reference. Only those sections of the Proxy Statement which specifically address the items set forth herein are incorporated by reference.</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 and Management and Related Stockholder Matters.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360"/>
          </w:cols>
          <w:pgMar w:left="1440" w:top="941" w:right="1440" w:bottom="348"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70" w:lineRule="exact"/>
        <w:rPr>
          <w:sz w:val="20"/>
          <w:szCs w:val="20"/>
          <w:color w:val="auto"/>
        </w:rPr>
      </w:pPr>
    </w:p>
    <w:p>
      <w:pPr>
        <w:ind w:left="480" w:hanging="480"/>
        <w:spacing w:after="0"/>
        <w:tabs>
          <w:tab w:leader="none" w:pos="4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Annual Report on Form 10-K:</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See Index to Consolidated Financial Statements in Part II, Item 8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10-K.</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All schedules have been omitted as the requested information is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or the information is presented in the consolidated financial statements or related notes included in this Form 10-K.</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See Item 15(b) of this Form 10-K below.</w:t>
      </w:r>
    </w:p>
    <w:p>
      <w:pPr>
        <w:spacing w:after="0" w:line="170"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r>
      <w:tr>
        <w:trPr>
          <w:trHeight w:val="217"/>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20"/>
                <w:szCs w:val="20"/>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Agreement  and  Plan  of  Merger,  dated</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5"/>
              </w:rPr>
              <w:t>2.1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12/07/23</w:t>
            </w:r>
          </w:p>
        </w:tc>
      </w:tr>
      <w:tr>
        <w:trPr>
          <w:trHeight w:val="22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auto"/>
              </w:rPr>
              <w:t>December 6, 2023, by and among SoundHound</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auto"/>
              </w:rPr>
              <w:t>AI, Inc., Black Knights Merger Sub I, Inc., a</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auto"/>
              </w:rPr>
              <w:t>Delaware corporation, Black Knight Merger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Sub II,  LLC,</w:t>
            </w:r>
          </w:p>
        </w:tc>
        <w:tc>
          <w:tcPr>
            <w:tcW w:w="114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a  Delaware</w:t>
            </w:r>
          </w:p>
        </w:tc>
        <w:tc>
          <w:tcPr>
            <w:tcW w:w="72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limited</w:t>
            </w:r>
          </w:p>
        </w:tc>
        <w:tc>
          <w:tcPr>
            <w:tcW w:w="8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liability</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and Synq3, Inc.*</w:t>
            </w: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2"/>
                <w:szCs w:val="22"/>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Second Amended and Restated Certificate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5"/>
              </w:rPr>
              <w:t>3.1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Incorporation of SoundHound AI, Inc.</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22"/>
                <w:szCs w:val="22"/>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Amended and Restated Bylaws of SoundHound</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5"/>
              </w:rPr>
              <w:t>3.2</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AI, Inc.</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200" w:type="dxa"/>
            <w:vAlign w:val="bottom"/>
          </w:tcPr>
          <w:p>
            <w:pPr>
              <w:spacing w:after="0"/>
              <w:rPr>
                <w:sz w:val="22"/>
                <w:szCs w:val="22"/>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SoundHound AI, Inc. Certificate of Designations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5"/>
              </w:rPr>
              <w:t>3.1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01/24/23</w:t>
            </w:r>
          </w:p>
        </w:tc>
      </w:tr>
      <w:tr>
        <w:trPr>
          <w:trHeight w:val="22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auto"/>
              </w:rPr>
              <w:t>of  Preferences,  Rights  and  Limitations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Series A Convertible Preferred Stock.</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2"/>
                <w:szCs w:val="22"/>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Amended and Restated Warrant Agreement.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4.1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2"/>
                <w:szCs w:val="22"/>
                <w:color w:val="auto"/>
              </w:rPr>
            </w:pPr>
          </w:p>
        </w:tc>
        <w:tc>
          <w:tcPr>
            <w:tcW w:w="3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Form of Specimen Class A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4.2</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05/16/22</w:t>
            </w: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Certificate.</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Form of Specimen Warrant Certificate.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4.3</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05/16/22</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Amended and Restated Warrant Agreement.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4.1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Form  of  Class A  Common  Stock  Purchase</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4.1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05/12/23</w:t>
            </w:r>
          </w:p>
        </w:tc>
      </w:tr>
      <w:tr>
        <w:trPr>
          <w:trHeight w:val="223"/>
        </w:trPr>
        <w:tc>
          <w:tcPr>
            <w:tcW w:w="960" w:type="dxa"/>
            <w:vAlign w:val="bottom"/>
          </w:tcPr>
          <w:p>
            <w:pPr>
              <w:spacing w:after="0"/>
              <w:rPr>
                <w:sz w:val="19"/>
                <w:szCs w:val="19"/>
                <w:color w:val="auto"/>
              </w:rPr>
            </w:pPr>
          </w:p>
        </w:tc>
        <w:tc>
          <w:tcPr>
            <w:tcW w:w="1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Warrant</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2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Description of Securities</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4.5</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03/28/23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SoundHound AI, Inc. 2022 Incentive Award</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Proxy</w:t>
            </w:r>
          </w:p>
        </w:tc>
        <w:tc>
          <w:tcPr>
            <w:tcW w:w="200" w:type="dxa"/>
            <w:vAlign w:val="bottom"/>
          </w:tcPr>
          <w:p>
            <w:pPr>
              <w:spacing w:after="0"/>
              <w:rPr>
                <w:sz w:val="22"/>
                <w:szCs w:val="22"/>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Annex D</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04/08/22</w:t>
            </w:r>
          </w:p>
        </w:tc>
      </w:tr>
      <w:tr>
        <w:trPr>
          <w:trHeight w:val="223"/>
        </w:trPr>
        <w:tc>
          <w:tcPr>
            <w:tcW w:w="960" w:type="dxa"/>
            <w:vAlign w:val="bottom"/>
          </w:tcPr>
          <w:p>
            <w:pPr>
              <w:spacing w:after="0"/>
              <w:rPr>
                <w:sz w:val="19"/>
                <w:szCs w:val="19"/>
                <w:color w:val="auto"/>
              </w:rPr>
            </w:pPr>
          </w:p>
        </w:tc>
        <w:tc>
          <w:tcPr>
            <w:tcW w:w="1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Plan.</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Statement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SoundHound AI, Inc. 2022 Employee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Proxy</w:t>
            </w:r>
          </w:p>
        </w:tc>
        <w:tc>
          <w:tcPr>
            <w:tcW w:w="200" w:type="dxa"/>
            <w:vAlign w:val="bottom"/>
          </w:tcPr>
          <w:p>
            <w:pPr>
              <w:spacing w:after="0"/>
              <w:rPr>
                <w:sz w:val="22"/>
                <w:szCs w:val="22"/>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Annex E</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04/08/22</w:t>
            </w:r>
          </w:p>
        </w:tc>
      </w:tr>
      <w:tr>
        <w:trPr>
          <w:trHeight w:val="223"/>
        </w:trPr>
        <w:tc>
          <w:tcPr>
            <w:tcW w:w="960" w:type="dxa"/>
            <w:vAlign w:val="bottom"/>
          </w:tcPr>
          <w:p>
            <w:pPr>
              <w:spacing w:after="0"/>
              <w:rPr>
                <w:sz w:val="19"/>
                <w:szCs w:val="19"/>
                <w:color w:val="auto"/>
              </w:rPr>
            </w:pPr>
          </w:p>
        </w:tc>
        <w:tc>
          <w:tcPr>
            <w:tcW w:w="1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Purchase Plan.</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Statement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Form of Restricted Stock Unit Agreement.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10.8</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Form of Stock Option Award Agreement.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10.9</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330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Form of Indemnity Agreement.</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rPr>
              <w:t>10.10</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Employment Agreement with Keyvan Mohajer,</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06/08/22</w:t>
            </w:r>
          </w:p>
        </w:tc>
      </w:tr>
      <w:tr>
        <w:trPr>
          <w:trHeight w:val="223"/>
        </w:trPr>
        <w:tc>
          <w:tcPr>
            <w:tcW w:w="960" w:type="dxa"/>
            <w:vAlign w:val="bottom"/>
          </w:tcPr>
          <w:p>
            <w:pPr>
              <w:spacing w:after="0"/>
              <w:rPr>
                <w:sz w:val="19"/>
                <w:szCs w:val="19"/>
                <w:color w:val="auto"/>
              </w:rPr>
            </w:pPr>
          </w:p>
        </w:tc>
        <w:tc>
          <w:tcPr>
            <w:tcW w:w="4140" w:type="dxa"/>
            <w:vAlign w:val="bottom"/>
            <w:gridSpan w:val="6"/>
          </w:tcPr>
          <w:p>
            <w:pPr>
              <w:ind w:left="200"/>
              <w:spacing w:after="0" w:line="223" w:lineRule="exact"/>
              <w:rPr>
                <w:sz w:val="20"/>
                <w:szCs w:val="20"/>
                <w:color w:val="auto"/>
              </w:rPr>
            </w:pPr>
            <w:r>
              <w:rPr>
                <w:rFonts w:ascii="Times New Roman" w:cs="Times New Roman" w:eastAsia="Times New Roman" w:hAnsi="Times New Roman"/>
                <w:sz w:val="20"/>
                <w:szCs w:val="20"/>
                <w:color w:val="auto"/>
              </w:rPr>
              <w:t>Chief Executive Officer, dated June 2, 2022.</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Employment Agreement with Nitesh Sharan,</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10.2</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06/08/22</w:t>
            </w:r>
          </w:p>
        </w:tc>
      </w:tr>
      <w:tr>
        <w:trPr>
          <w:trHeight w:val="223"/>
        </w:trPr>
        <w:tc>
          <w:tcPr>
            <w:tcW w:w="960" w:type="dxa"/>
            <w:vAlign w:val="bottom"/>
          </w:tcPr>
          <w:p>
            <w:pPr>
              <w:spacing w:after="0"/>
              <w:rPr>
                <w:sz w:val="19"/>
                <w:szCs w:val="19"/>
                <w:color w:val="auto"/>
              </w:rPr>
            </w:pPr>
          </w:p>
        </w:tc>
        <w:tc>
          <w:tcPr>
            <w:tcW w:w="4140" w:type="dxa"/>
            <w:vAlign w:val="bottom"/>
            <w:gridSpan w:val="6"/>
          </w:tcPr>
          <w:p>
            <w:pPr>
              <w:ind w:left="200"/>
              <w:spacing w:after="0" w:line="223" w:lineRule="exact"/>
              <w:rPr>
                <w:sz w:val="20"/>
                <w:szCs w:val="20"/>
                <w:color w:val="auto"/>
              </w:rPr>
            </w:pPr>
            <w:r>
              <w:rPr>
                <w:rFonts w:ascii="Times New Roman" w:cs="Times New Roman" w:eastAsia="Times New Roman" w:hAnsi="Times New Roman"/>
                <w:sz w:val="20"/>
                <w:szCs w:val="20"/>
                <w:color w:val="auto"/>
              </w:rPr>
              <w:t>Chief Financial Officer, dated June 2, 2022.</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Employment</w:t>
            </w: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with</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Timothy</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10.3</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06/08/22</w:t>
            </w:r>
          </w:p>
        </w:tc>
      </w:tr>
      <w:tr>
        <w:trPr>
          <w:trHeight w:val="220"/>
        </w:trPr>
        <w:tc>
          <w:tcPr>
            <w:tcW w:w="960" w:type="dxa"/>
            <w:vAlign w:val="bottom"/>
          </w:tcPr>
          <w:p>
            <w:pPr>
              <w:spacing w:after="0"/>
              <w:rPr>
                <w:sz w:val="19"/>
                <w:szCs w:val="19"/>
                <w:color w:val="auto"/>
              </w:rPr>
            </w:pPr>
          </w:p>
        </w:tc>
        <w:tc>
          <w:tcPr>
            <w:tcW w:w="4140" w:type="dxa"/>
            <w:vAlign w:val="bottom"/>
            <w:gridSpan w:val="6"/>
          </w:tcPr>
          <w:p>
            <w:pPr>
              <w:ind w:left="200"/>
              <w:spacing w:after="0" w:line="220" w:lineRule="exact"/>
              <w:rPr>
                <w:sz w:val="20"/>
                <w:szCs w:val="20"/>
                <w:color w:val="auto"/>
              </w:rPr>
            </w:pPr>
            <w:r>
              <w:rPr>
                <w:rFonts w:ascii="Times New Roman" w:cs="Times New Roman" w:eastAsia="Times New Roman" w:hAnsi="Times New Roman"/>
                <w:sz w:val="20"/>
                <w:szCs w:val="20"/>
                <w:color w:val="auto"/>
              </w:rPr>
              <w:t>Stonehocker, Chief Technology Officer, dated</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4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June 2, 2022.</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Non-Employee Director Compensation Policy.</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10.4</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06/08/22</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41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Form of Preferred Stock Purchase Agreement.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01/24/23</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330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9"/>
              </w:rPr>
              <w:t>Senior Secured Term Loan Agreement</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44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7"/>
              </w:rPr>
              <w:t>10.1</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05/12/23</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360"/>
          </w:cols>
          <w:pgMar w:left="1440" w:top="941" w:right="1440" w:bottom="348"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17"/>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2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Controlled  Equity  Offering</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Sales</w:t>
            </w:r>
          </w:p>
        </w:tc>
        <w:tc>
          <w:tcPr>
            <w:tcW w:w="94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S-3</w:t>
            </w:r>
          </w:p>
        </w:tc>
        <w:tc>
          <w:tcPr>
            <w:tcW w:w="1740" w:type="dxa"/>
            <w:vAlign w:val="bottom"/>
            <w:gridSpan w:val="3"/>
          </w:tcPr>
          <w:p>
            <w:pPr>
              <w:jc w:val="right"/>
              <w:ind w:right="330"/>
              <w:spacing w:after="0"/>
              <w:rPr>
                <w:sz w:val="20"/>
                <w:szCs w:val="20"/>
                <w:color w:val="auto"/>
              </w:rPr>
            </w:pPr>
            <w:r>
              <w:rPr>
                <w:rFonts w:ascii="Times New Roman" w:cs="Times New Roman" w:eastAsia="Times New Roman" w:hAnsi="Times New Roman"/>
                <w:sz w:val="20"/>
                <w:szCs w:val="20"/>
                <w:color w:val="auto"/>
              </w:rPr>
              <w:t>10.1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07/24/23</w:t>
            </w: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Agreement</w:t>
            </w:r>
          </w:p>
        </w:tc>
        <w:tc>
          <w:tcPr>
            <w:tcW w:w="2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34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Insider Trading Policy</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34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Subsidiaries of the Company.</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8-K</w:t>
            </w:r>
          </w:p>
        </w:tc>
        <w:tc>
          <w:tcPr>
            <w:tcW w:w="1740" w:type="dxa"/>
            <w:vAlign w:val="bottom"/>
            <w:gridSpan w:val="3"/>
          </w:tcPr>
          <w:p>
            <w:pPr>
              <w:jc w:val="right"/>
              <w:ind w:right="330"/>
              <w:spacing w:after="0"/>
              <w:rPr>
                <w:sz w:val="20"/>
                <w:szCs w:val="20"/>
                <w:color w:val="auto"/>
              </w:rPr>
            </w:pPr>
            <w:r>
              <w:rPr>
                <w:rFonts w:ascii="Times New Roman" w:cs="Times New Roman" w:eastAsia="Times New Roman" w:hAnsi="Times New Roman"/>
                <w:sz w:val="20"/>
                <w:szCs w:val="20"/>
                <w:color w:val="auto"/>
              </w:rPr>
              <w:t>21.1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05/02/22</w:t>
            </w: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34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Consent of PricewaterhouseCoopers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34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Consent of Armanino LLP</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414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960" w:type="dxa"/>
            <w:vAlign w:val="bottom"/>
          </w:tcPr>
          <w:p>
            <w:pPr>
              <w:spacing w:after="0"/>
              <w:rPr>
                <w:sz w:val="19"/>
                <w:szCs w:val="19"/>
                <w:color w:val="auto"/>
              </w:rPr>
            </w:pPr>
          </w:p>
        </w:tc>
        <w:tc>
          <w:tcPr>
            <w:tcW w:w="132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Pursuant  to</w:t>
            </w:r>
          </w:p>
        </w:tc>
        <w:tc>
          <w:tcPr>
            <w:tcW w:w="216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Securities  Exchange Act</w:t>
            </w:r>
          </w:p>
        </w:tc>
        <w:tc>
          <w:tcPr>
            <w:tcW w:w="660" w:type="dxa"/>
            <w:vAlign w:val="bottom"/>
            <w:gridSpan w:val="2"/>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Rules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3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w w:val="98"/>
              </w:rPr>
              <w:t>13a-14(a) and</w:t>
            </w:r>
          </w:p>
        </w:tc>
        <w:tc>
          <w:tcPr>
            <w:tcW w:w="282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15(d)-14(a),   as   adopted</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1160"/>
        <w:spacing w:after="0" w:line="229" w:lineRule="auto"/>
        <w:rPr>
          <w:sz w:val="20"/>
          <w:szCs w:val="20"/>
          <w:color w:val="auto"/>
        </w:rPr>
      </w:pPr>
      <w:r>
        <w:rPr>
          <w:rFonts w:ascii="Times New Roman" w:cs="Times New Roman" w:eastAsia="Times New Roman" w:hAnsi="Times New Roman"/>
          <w:sz w:val="20"/>
          <w:szCs w:val="20"/>
          <w:color w:val="auto"/>
        </w:rPr>
        <w:t>Pursuant to Section 302 of the Sarbanes-Oxley</w:t>
      </w:r>
    </w:p>
    <w:p>
      <w:pPr>
        <w:ind w:left="1160"/>
        <w:spacing w:after="0" w:line="230" w:lineRule="auto"/>
        <w:rPr>
          <w:sz w:val="20"/>
          <w:szCs w:val="20"/>
          <w:color w:val="auto"/>
        </w:rPr>
      </w:pPr>
      <w:r>
        <w:rPr>
          <w:rFonts w:ascii="Times New Roman" w:cs="Times New Roman" w:eastAsia="Times New Roman" w:hAnsi="Times New Roman"/>
          <w:sz w:val="20"/>
          <w:szCs w:val="20"/>
          <w:color w:val="auto"/>
        </w:rPr>
        <w:t>Act of 2002.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Certification  of  Principal  Financial  Officer</w:t>
            </w:r>
          </w:p>
        </w:tc>
      </w:tr>
      <w:tr>
        <w:trPr>
          <w:trHeight w:val="220"/>
        </w:trPr>
        <w:tc>
          <w:tcPr>
            <w:tcW w:w="960" w:type="dxa"/>
            <w:vAlign w:val="bottom"/>
          </w:tcPr>
          <w:p>
            <w:pPr>
              <w:spacing w:after="0"/>
              <w:rPr>
                <w:sz w:val="19"/>
                <w:szCs w:val="19"/>
                <w:color w:val="auto"/>
              </w:rPr>
            </w:pPr>
          </w:p>
        </w:tc>
        <w:tc>
          <w:tcPr>
            <w:tcW w:w="13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Pursuant  to</w:t>
            </w:r>
          </w:p>
        </w:tc>
        <w:tc>
          <w:tcPr>
            <w:tcW w:w="2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Securities  Exchange Act  Rules</w:t>
            </w:r>
          </w:p>
        </w:tc>
      </w:tr>
      <w:tr>
        <w:trPr>
          <w:trHeight w:val="220"/>
        </w:trPr>
        <w:tc>
          <w:tcPr>
            <w:tcW w:w="960" w:type="dxa"/>
            <w:vAlign w:val="bottom"/>
          </w:tcPr>
          <w:p>
            <w:pPr>
              <w:spacing w:after="0"/>
              <w:rPr>
                <w:sz w:val="19"/>
                <w:szCs w:val="19"/>
                <w:color w:val="auto"/>
              </w:rPr>
            </w:pPr>
          </w:p>
        </w:tc>
        <w:tc>
          <w:tcPr>
            <w:tcW w:w="13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w w:val="98"/>
              </w:rPr>
              <w:t>13a-14(a) and</w:t>
            </w:r>
          </w:p>
        </w:tc>
        <w:tc>
          <w:tcPr>
            <w:tcW w:w="2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15(d)-14(a),   as   adopted</w:t>
            </w:r>
          </w:p>
        </w:tc>
      </w:tr>
      <w:tr>
        <w:trPr>
          <w:trHeight w:val="220"/>
        </w:trPr>
        <w:tc>
          <w:tcPr>
            <w:tcW w:w="960" w:type="dxa"/>
            <w:vAlign w:val="bottom"/>
          </w:tcPr>
          <w:p>
            <w:pPr>
              <w:spacing w:after="0"/>
              <w:rPr>
                <w:sz w:val="19"/>
                <w:szCs w:val="19"/>
                <w:color w:val="auto"/>
              </w:rPr>
            </w:pPr>
          </w:p>
        </w:tc>
        <w:tc>
          <w:tcPr>
            <w:tcW w:w="398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Pursuant to Section 302 of the Sarbanes-Oxley</w:t>
            </w:r>
          </w:p>
        </w:tc>
      </w:tr>
      <w:tr>
        <w:trPr>
          <w:trHeight w:val="223"/>
        </w:trPr>
        <w:tc>
          <w:tcPr>
            <w:tcW w:w="960" w:type="dxa"/>
            <w:vAlign w:val="bottom"/>
          </w:tcPr>
          <w:p>
            <w:pPr>
              <w:spacing w:after="0"/>
              <w:rPr>
                <w:sz w:val="19"/>
                <w:szCs w:val="19"/>
                <w:color w:val="auto"/>
              </w:rPr>
            </w:pPr>
          </w:p>
        </w:tc>
        <w:tc>
          <w:tcPr>
            <w:tcW w:w="13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Act of 2002.</w:t>
            </w:r>
          </w:p>
        </w:tc>
        <w:tc>
          <w:tcPr>
            <w:tcW w:w="2660" w:type="dxa"/>
            <w:vAlign w:val="bottom"/>
          </w:tcPr>
          <w:p>
            <w:pPr>
              <w:spacing w:after="0"/>
              <w:rPr>
                <w:sz w:val="19"/>
                <w:szCs w:val="19"/>
                <w:color w:val="auto"/>
              </w:rPr>
            </w:pP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r>
      <w:tr>
        <w:trPr>
          <w:trHeight w:val="220"/>
        </w:trPr>
        <w:tc>
          <w:tcPr>
            <w:tcW w:w="960" w:type="dxa"/>
            <w:vAlign w:val="bottom"/>
          </w:tcPr>
          <w:p>
            <w:pPr>
              <w:spacing w:after="0"/>
              <w:rPr>
                <w:sz w:val="19"/>
                <w:szCs w:val="19"/>
                <w:color w:val="auto"/>
              </w:rPr>
            </w:pPr>
          </w:p>
        </w:tc>
        <w:tc>
          <w:tcPr>
            <w:tcW w:w="398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w w:val="99"/>
              </w:rPr>
              <w:t>Pursuant to 18 U.S.C. Section 1350, as adopted</w:t>
            </w:r>
          </w:p>
        </w:tc>
      </w:tr>
      <w:tr>
        <w:trPr>
          <w:trHeight w:val="220"/>
        </w:trPr>
        <w:tc>
          <w:tcPr>
            <w:tcW w:w="960" w:type="dxa"/>
            <w:vAlign w:val="bottom"/>
          </w:tcPr>
          <w:p>
            <w:pPr>
              <w:spacing w:after="0"/>
              <w:rPr>
                <w:sz w:val="19"/>
                <w:szCs w:val="19"/>
                <w:color w:val="auto"/>
              </w:rPr>
            </w:pPr>
          </w:p>
        </w:tc>
        <w:tc>
          <w:tcPr>
            <w:tcW w:w="398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Pursuant to Section 906 of the Sarbanes-Oxley</w:t>
            </w:r>
          </w:p>
        </w:tc>
      </w:tr>
      <w:tr>
        <w:trPr>
          <w:trHeight w:val="223"/>
        </w:trPr>
        <w:tc>
          <w:tcPr>
            <w:tcW w:w="960" w:type="dxa"/>
            <w:vAlign w:val="bottom"/>
          </w:tcPr>
          <w:p>
            <w:pPr>
              <w:spacing w:after="0"/>
              <w:rPr>
                <w:sz w:val="19"/>
                <w:szCs w:val="19"/>
                <w:color w:val="auto"/>
              </w:rPr>
            </w:pPr>
          </w:p>
        </w:tc>
        <w:tc>
          <w:tcPr>
            <w:tcW w:w="13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Act of 2002.</w:t>
            </w:r>
          </w:p>
        </w:tc>
        <w:tc>
          <w:tcPr>
            <w:tcW w:w="2660" w:type="dxa"/>
            <w:vAlign w:val="bottom"/>
          </w:tcPr>
          <w:p>
            <w:pPr>
              <w:spacing w:after="0"/>
              <w:rPr>
                <w:sz w:val="19"/>
                <w:szCs w:val="19"/>
                <w:color w:val="auto"/>
              </w:rPr>
            </w:pP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Certification  of  Principal  Financial  Officer</w:t>
            </w:r>
          </w:p>
        </w:tc>
      </w:tr>
      <w:tr>
        <w:trPr>
          <w:trHeight w:val="220"/>
        </w:trPr>
        <w:tc>
          <w:tcPr>
            <w:tcW w:w="960" w:type="dxa"/>
            <w:vAlign w:val="bottom"/>
          </w:tcPr>
          <w:p>
            <w:pPr>
              <w:spacing w:after="0"/>
              <w:rPr>
                <w:sz w:val="19"/>
                <w:szCs w:val="19"/>
                <w:color w:val="auto"/>
              </w:rPr>
            </w:pPr>
          </w:p>
        </w:tc>
        <w:tc>
          <w:tcPr>
            <w:tcW w:w="398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w w:val="99"/>
              </w:rPr>
              <w:t>Pursuant to 18 U.S.C. Section 1350, as adopted</w:t>
            </w:r>
          </w:p>
        </w:tc>
      </w:tr>
      <w:tr>
        <w:trPr>
          <w:trHeight w:val="220"/>
        </w:trPr>
        <w:tc>
          <w:tcPr>
            <w:tcW w:w="960" w:type="dxa"/>
            <w:vAlign w:val="bottom"/>
          </w:tcPr>
          <w:p>
            <w:pPr>
              <w:spacing w:after="0"/>
              <w:rPr>
                <w:sz w:val="19"/>
                <w:szCs w:val="19"/>
                <w:color w:val="auto"/>
              </w:rPr>
            </w:pPr>
          </w:p>
        </w:tc>
        <w:tc>
          <w:tcPr>
            <w:tcW w:w="398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Pursuant to Section 906 of the Sarbanes-Oxley</w:t>
            </w:r>
          </w:p>
        </w:tc>
      </w:tr>
      <w:tr>
        <w:trPr>
          <w:trHeight w:val="223"/>
        </w:trPr>
        <w:tc>
          <w:tcPr>
            <w:tcW w:w="960" w:type="dxa"/>
            <w:vAlign w:val="bottom"/>
          </w:tcPr>
          <w:p>
            <w:pPr>
              <w:spacing w:after="0"/>
              <w:rPr>
                <w:sz w:val="19"/>
                <w:szCs w:val="19"/>
                <w:color w:val="auto"/>
              </w:rPr>
            </w:pPr>
          </w:p>
        </w:tc>
        <w:tc>
          <w:tcPr>
            <w:tcW w:w="13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Act of 2002.</w:t>
            </w:r>
          </w:p>
        </w:tc>
        <w:tc>
          <w:tcPr>
            <w:tcW w:w="2660" w:type="dxa"/>
            <w:vAlign w:val="bottom"/>
          </w:tcPr>
          <w:p>
            <w:pPr>
              <w:spacing w:after="0"/>
              <w:rPr>
                <w:sz w:val="19"/>
                <w:szCs w:val="19"/>
                <w:color w:val="auto"/>
              </w:rPr>
            </w:pPr>
          </w:p>
        </w:tc>
      </w:tr>
      <w:tr>
        <w:trPr>
          <w:trHeight w:val="30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Executive Compensation Clawback Policy</w:t>
            </w:r>
          </w:p>
        </w:tc>
      </w:tr>
      <w:tr>
        <w:trPr>
          <w:trHeight w:val="30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Schema</w:t>
            </w:r>
          </w:p>
        </w:tc>
      </w:tr>
      <w:tr>
        <w:trPr>
          <w:trHeight w:val="223"/>
        </w:trPr>
        <w:tc>
          <w:tcPr>
            <w:tcW w:w="960" w:type="dxa"/>
            <w:vAlign w:val="bottom"/>
          </w:tcPr>
          <w:p>
            <w:pPr>
              <w:spacing w:after="0"/>
              <w:rPr>
                <w:sz w:val="19"/>
                <w:szCs w:val="19"/>
                <w:color w:val="auto"/>
              </w:rPr>
            </w:pPr>
          </w:p>
        </w:tc>
        <w:tc>
          <w:tcPr>
            <w:tcW w:w="13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Document.</w:t>
            </w:r>
          </w:p>
        </w:tc>
        <w:tc>
          <w:tcPr>
            <w:tcW w:w="2660" w:type="dxa"/>
            <w:vAlign w:val="bottom"/>
          </w:tcPr>
          <w:p>
            <w:pPr>
              <w:spacing w:after="0"/>
              <w:rPr>
                <w:sz w:val="19"/>
                <w:szCs w:val="19"/>
                <w:color w:val="auto"/>
              </w:rPr>
            </w:pP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Inline XBRL Taxonomy Extension Calculation</w:t>
            </w:r>
          </w:p>
        </w:tc>
      </w:tr>
      <w:tr>
        <w:trPr>
          <w:trHeight w:val="223"/>
        </w:trPr>
        <w:tc>
          <w:tcPr>
            <w:tcW w:w="960" w:type="dxa"/>
            <w:vAlign w:val="bottom"/>
          </w:tcPr>
          <w:p>
            <w:pPr>
              <w:spacing w:after="0"/>
              <w:rPr>
                <w:sz w:val="19"/>
                <w:szCs w:val="19"/>
                <w:color w:val="auto"/>
              </w:rPr>
            </w:pPr>
          </w:p>
        </w:tc>
        <w:tc>
          <w:tcPr>
            <w:tcW w:w="39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r>
      <w:tr>
        <w:trPr>
          <w:trHeight w:val="223"/>
        </w:trPr>
        <w:tc>
          <w:tcPr>
            <w:tcW w:w="960" w:type="dxa"/>
            <w:vAlign w:val="bottom"/>
          </w:tcPr>
          <w:p>
            <w:pPr>
              <w:spacing w:after="0"/>
              <w:rPr>
                <w:sz w:val="19"/>
                <w:szCs w:val="19"/>
                <w:color w:val="auto"/>
              </w:rPr>
            </w:pPr>
          </w:p>
        </w:tc>
        <w:tc>
          <w:tcPr>
            <w:tcW w:w="39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Label</w:t>
            </w:r>
          </w:p>
        </w:tc>
      </w:tr>
      <w:tr>
        <w:trPr>
          <w:trHeight w:val="223"/>
        </w:trPr>
        <w:tc>
          <w:tcPr>
            <w:tcW w:w="960" w:type="dxa"/>
            <w:vAlign w:val="bottom"/>
          </w:tcPr>
          <w:p>
            <w:pPr>
              <w:spacing w:after="0"/>
              <w:rPr>
                <w:sz w:val="19"/>
                <w:szCs w:val="19"/>
                <w:color w:val="auto"/>
              </w:rPr>
            </w:pPr>
          </w:p>
        </w:tc>
        <w:tc>
          <w:tcPr>
            <w:tcW w:w="39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7"/>
              </w:rPr>
              <w:t>Inline XBRL Taxonomy Extension Presentation</w:t>
            </w:r>
          </w:p>
        </w:tc>
      </w:tr>
      <w:tr>
        <w:trPr>
          <w:trHeight w:val="223"/>
        </w:trPr>
        <w:tc>
          <w:tcPr>
            <w:tcW w:w="960" w:type="dxa"/>
            <w:vAlign w:val="bottom"/>
          </w:tcPr>
          <w:p>
            <w:pPr>
              <w:spacing w:after="0"/>
              <w:rPr>
                <w:sz w:val="19"/>
                <w:szCs w:val="19"/>
                <w:color w:val="auto"/>
              </w:rPr>
            </w:pPr>
          </w:p>
        </w:tc>
        <w:tc>
          <w:tcPr>
            <w:tcW w:w="39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r>
    </w:tbl>
    <w:p>
      <w:pPr>
        <w:spacing w:after="0" w:line="77" w:lineRule="exact"/>
        <w:rPr>
          <w:sz w:val="20"/>
          <w:szCs w:val="20"/>
          <w:color w:val="auto"/>
        </w:rPr>
      </w:pPr>
    </w:p>
    <w:p>
      <w:pPr>
        <w:ind w:left="1160" w:right="4420" w:hanging="1160"/>
        <w:spacing w:after="0" w:line="231" w:lineRule="auto"/>
        <w:tabs>
          <w:tab w:leader="none" w:pos="1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80645</wp:posOffset>
                </wp:positionV>
                <wp:extent cx="55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5pt" to="44pt,6.35pt" o:allowincell="f" strokecolor="#000000" strokeweight="0.5pt"/>
            </w:pict>
          </mc:Fallback>
        </mc:AlternateContent>
      </w:r>
    </w:p>
    <w:p>
      <w:pPr>
        <w:spacing w:after="0" w:line="188" w:lineRule="exact"/>
        <w:rPr>
          <w:sz w:val="20"/>
          <w:szCs w:val="20"/>
          <w:color w:val="auto"/>
        </w:rPr>
      </w:pPr>
    </w:p>
    <w:p>
      <w:pPr>
        <w:ind w:left="480" w:hanging="480"/>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 w:lineRule="exact"/>
        <w:rPr>
          <w:sz w:val="20"/>
          <w:szCs w:val="20"/>
          <w:color w:val="auto"/>
        </w:rPr>
      </w:pPr>
    </w:p>
    <w:p>
      <w:pPr>
        <w:ind w:left="480" w:hanging="480"/>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1" w:lineRule="exact"/>
        <w:rPr>
          <w:sz w:val="20"/>
          <w:szCs w:val="20"/>
          <w:color w:val="auto"/>
        </w:rPr>
      </w:pPr>
    </w:p>
    <w:p>
      <w:pPr>
        <w:ind w:left="480" w:hanging="480"/>
        <w:spacing w:after="0" w:line="245"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9" w:lineRule="exact"/>
        <w:rPr>
          <w:sz w:val="20"/>
          <w:szCs w:val="20"/>
          <w:color w:val="auto"/>
        </w:rPr>
      </w:pPr>
    </w:p>
    <w:p>
      <w:pPr>
        <w:ind w:left="480" w:hanging="480"/>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00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360"/>
          </w:cols>
          <w:pgMar w:left="1440" w:top="1005" w:right="1440" w:bottom="348"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SoundHound AI, Inc.</w:t>
            </w:r>
          </w:p>
        </w:tc>
      </w:tr>
      <w:tr>
        <w:trPr>
          <w:trHeight w:val="411"/>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Date: March 1, 2024</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Keyvan Mohajer</w:t>
            </w:r>
          </w:p>
        </w:tc>
      </w:tr>
      <w:tr>
        <w:trPr>
          <w:trHeight w:val="239"/>
        </w:trPr>
        <w:tc>
          <w:tcPr>
            <w:tcW w:w="5840" w:type="dxa"/>
            <w:vAlign w:val="bottom"/>
          </w:tcPr>
          <w:p>
            <w:pPr>
              <w:ind w:left="5140"/>
              <w:spacing w:after="0"/>
              <w:rPr>
                <w:sz w:val="20"/>
                <w:szCs w:val="20"/>
                <w:color w:val="auto"/>
              </w:rPr>
            </w:pPr>
            <w:r>
              <w:rPr>
                <w:rFonts w:ascii="Times New Roman" w:cs="Times New Roman" w:eastAsia="Times New Roman" w:hAnsi="Times New Roman"/>
                <w:sz w:val="20"/>
                <w:szCs w:val="20"/>
                <w:color w:val="auto"/>
              </w:rPr>
              <w:t>Name:</w:t>
            </w:r>
          </w:p>
        </w:tc>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Dr. Keyvan Mohajer</w:t>
            </w:r>
          </w:p>
        </w:tc>
      </w:tr>
      <w:tr>
        <w:trPr>
          <w:trHeight w:val="260"/>
        </w:trPr>
        <w:tc>
          <w:tcPr>
            <w:tcW w:w="5840" w:type="dxa"/>
            <w:vAlign w:val="bottom"/>
          </w:tcPr>
          <w:p>
            <w:pPr>
              <w:ind w:left="5140"/>
              <w:spacing w:after="0"/>
              <w:rPr>
                <w:sz w:val="20"/>
                <w:szCs w:val="20"/>
                <w:color w:val="auto"/>
              </w:rPr>
            </w:pPr>
            <w:r>
              <w:rPr>
                <w:rFonts w:ascii="Times New Roman" w:cs="Times New Roman" w:eastAsia="Times New Roman" w:hAnsi="Times New Roman"/>
                <w:sz w:val="20"/>
                <w:szCs w:val="20"/>
                <w:color w:val="auto"/>
              </w:rPr>
              <w:t>Title:</w:t>
            </w:r>
          </w:p>
        </w:tc>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5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39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18"/>
                <w:szCs w:val="18"/>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8"/>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Keyvan Mohajer</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1, 2024</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Keyvan Mohajer</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Nitesh Sharan</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1, 2024</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Hom</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1, 2024</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James Hom</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Eric Ball</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1, 2024</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Eric Ball</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Larry Marcus</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1, 2024</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Larry Marcus</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Diana Sroka</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1, 2024</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Diana Sroka</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941" w:right="1440" w:bottom="348"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7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regardless of any general incorporation language in such filing, except as shall be expressly set forth by specific reference in such filing.</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graph below compares the cumulative total return to our stockholders between April 28, 2022 (the date our Class A common stock commenced trading on the NASDAQ Global Select Market) through March 28, 2024 in comparison to the NASDAQ Composite Index and the Company’s self-determined peer group. The graph assumes $100 was invested in the Class A common stock of SoundHound AI Inc., the NASDAQ Composite Index and the Company’s self-determined peer group, and assumes reinvestment of any dividends.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Peer Group consisted BigBear.ai Holdings (BBAI), Cerence (CRNC), Five9 (FIVN), KORE Group Holdings (KORE), LivePerson (LPSN), Movella Holdings (MVLA), Fiscalnote Holdings (NOTE), Planet Labs (PL), Presto Automation (PRST), RingCentral (RNG), and Veritone (VERI). The Company believes that the Peer Group reflects a broader group of peers within the technology sector for application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79375</wp:posOffset>
            </wp:positionV>
            <wp:extent cx="4954270" cy="3073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4954270" cy="3073400"/>
                    </a:xfrm>
                    <a:prstGeom prst="rect">
                      <a:avLst/>
                    </a:prstGeom>
                    <a:noFill/>
                  </pic:spPr>
                </pic:pic>
              </a:graphicData>
            </a:graphic>
          </wp:anchor>
        </w:drawing>
      </w:r>
    </w:p>
    <w:p>
      <w:pPr>
        <w:sectPr>
          <w:pgSz w:w="12240" w:h="15840" w:orient="portrait"/>
          <w:cols w:equalWidth="0" w:num="1">
            <w:col w:w="9360"/>
          </w:cols>
          <w:pgMar w:left="1440" w:top="9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146" w:type="dxa"/>
        <w:tblCellMar>
          <w:top w:w="0" w:type="dxa"/>
          <w:left w:w="0" w:type="dxa"/>
          <w:bottom w:w="0" w:type="dxa"/>
          <w:right w:w="0" w:type="dxa"/>
        </w:tblCellMar>
      </w:tblPr>
      <w:tr>
        <w:trPr>
          <w:trHeight w:val="920"/>
        </w:trPr>
        <w:tc>
          <w:tcPr>
            <w:tcW w:w="195" w:type="dxa"/>
            <w:vAlign w:val="bottom"/>
            <w:textDirection w:val="btLr"/>
          </w:tcPr>
          <w:p>
            <w:pPr>
              <w:spacing w:after="0"/>
              <w:rPr>
                <w:sz w:val="20"/>
                <w:szCs w:val="20"/>
                <w:color w:val="auto"/>
              </w:rPr>
            </w:pPr>
            <w:r>
              <w:rPr>
                <w:rFonts w:ascii="Arial" w:cs="Arial" w:eastAsia="Arial" w:hAnsi="Arial"/>
                <w:sz w:val="17"/>
                <w:szCs w:val="17"/>
                <w:color w:val="595959"/>
              </w:rPr>
              <w:t>Index Value</w:t>
            </w:r>
          </w:p>
        </w:tc>
      </w:tr>
    </w:tbl>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595959"/>
        </w:rPr>
        <w:t>140</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595959"/>
        </w:rPr>
        <w:t>120</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595959"/>
        </w:rPr>
        <w:t>100</w:t>
      </w:r>
    </w:p>
    <w:p>
      <w:pPr>
        <w:spacing w:after="0" w:line="248" w:lineRule="exact"/>
        <w:rPr>
          <w:sz w:val="20"/>
          <w:szCs w:val="20"/>
          <w:color w:val="auto"/>
        </w:rPr>
      </w:pPr>
    </w:p>
    <w:p>
      <w:pPr>
        <w:jc w:val="right"/>
        <w:ind w:right="7640"/>
        <w:spacing w:after="0"/>
        <w:rPr>
          <w:sz w:val="20"/>
          <w:szCs w:val="20"/>
          <w:color w:val="auto"/>
        </w:rPr>
      </w:pPr>
      <w:r>
        <w:rPr>
          <w:rFonts w:ascii="Arial" w:cs="Arial" w:eastAsia="Arial" w:hAnsi="Arial"/>
          <w:sz w:val="18"/>
          <w:szCs w:val="18"/>
          <w:color w:val="595959"/>
        </w:rPr>
        <w:t>80</w:t>
      </w:r>
    </w:p>
    <w:p>
      <w:pPr>
        <w:spacing w:after="0" w:line="236" w:lineRule="exact"/>
        <w:rPr>
          <w:sz w:val="20"/>
          <w:szCs w:val="20"/>
          <w:color w:val="auto"/>
        </w:rPr>
      </w:pPr>
    </w:p>
    <w:p>
      <w:pPr>
        <w:jc w:val="right"/>
        <w:ind w:right="7640"/>
        <w:spacing w:after="0"/>
        <w:rPr>
          <w:sz w:val="20"/>
          <w:szCs w:val="20"/>
          <w:color w:val="auto"/>
        </w:rPr>
      </w:pPr>
      <w:r>
        <w:rPr>
          <w:rFonts w:ascii="Arial" w:cs="Arial" w:eastAsia="Arial" w:hAnsi="Arial"/>
          <w:sz w:val="18"/>
          <w:szCs w:val="18"/>
          <w:color w:val="595959"/>
        </w:rPr>
        <w:t>60</w:t>
      </w:r>
    </w:p>
    <w:p>
      <w:pPr>
        <w:spacing w:after="0" w:line="236" w:lineRule="exact"/>
        <w:rPr>
          <w:sz w:val="20"/>
          <w:szCs w:val="20"/>
          <w:color w:val="auto"/>
        </w:rPr>
      </w:pPr>
    </w:p>
    <w:p>
      <w:pPr>
        <w:jc w:val="right"/>
        <w:ind w:right="7640"/>
        <w:spacing w:after="0"/>
        <w:rPr>
          <w:sz w:val="20"/>
          <w:szCs w:val="20"/>
          <w:color w:val="auto"/>
        </w:rPr>
      </w:pPr>
      <w:r>
        <w:rPr>
          <w:rFonts w:ascii="Arial" w:cs="Arial" w:eastAsia="Arial" w:hAnsi="Arial"/>
          <w:sz w:val="18"/>
          <w:szCs w:val="18"/>
          <w:color w:val="595959"/>
        </w:rPr>
        <w:t>40</w:t>
      </w:r>
    </w:p>
    <w:p>
      <w:pPr>
        <w:spacing w:after="0" w:line="200" w:lineRule="exact"/>
        <w:rPr>
          <w:sz w:val="20"/>
          <w:szCs w:val="20"/>
          <w:color w:val="auto"/>
        </w:rPr>
      </w:pPr>
    </w:p>
    <w:p>
      <w:pPr>
        <w:sectPr>
          <w:pgSz w:w="12240" w:h="15840" w:orient="portrait"/>
          <w:cols w:equalWidth="0" w:num="2">
            <w:col w:w="1342" w:space="78"/>
            <w:col w:w="7940"/>
          </w:cols>
          <w:pgMar w:left="1440" w:top="941" w:right="1440" w:bottom="1440" w:gutter="0" w:footer="0" w:header="0"/>
          <w:type w:val="continuous"/>
        </w:sectPr>
      </w:pPr>
    </w:p>
    <w:p>
      <w:pPr>
        <w:spacing w:after="0" w:line="36" w:lineRule="exact"/>
        <w:rPr>
          <w:sz w:val="20"/>
          <w:szCs w:val="20"/>
          <w:color w:val="auto"/>
        </w:rPr>
      </w:pPr>
    </w:p>
    <w:p>
      <w:pPr>
        <w:ind w:left="1520"/>
        <w:spacing w:after="0"/>
        <w:rPr>
          <w:sz w:val="20"/>
          <w:szCs w:val="20"/>
          <w:color w:val="auto"/>
        </w:rPr>
      </w:pPr>
      <w:r>
        <w:rPr>
          <w:rFonts w:ascii="Arial" w:cs="Arial" w:eastAsia="Arial" w:hAnsi="Arial"/>
          <w:sz w:val="18"/>
          <w:szCs w:val="18"/>
          <w:color w:val="595959"/>
        </w:rPr>
        <w:t>20</w:t>
      </w:r>
    </w:p>
    <w:p>
      <w:pPr>
        <w:spacing w:after="0" w:line="236" w:lineRule="exact"/>
        <w:rPr>
          <w:sz w:val="20"/>
          <w:szCs w:val="20"/>
          <w:color w:val="auto"/>
        </w:rPr>
      </w:pPr>
    </w:p>
    <w:p>
      <w:pPr>
        <w:ind w:left="1580"/>
        <w:spacing w:after="0"/>
        <w:rPr>
          <w:sz w:val="20"/>
          <w:szCs w:val="20"/>
          <w:color w:val="auto"/>
        </w:rPr>
      </w:pPr>
      <w:r>
        <w:rPr>
          <w:rFonts w:ascii="Arial" w:cs="Arial" w:eastAsia="Arial" w:hAnsi="Arial"/>
          <w:sz w:val="18"/>
          <w:szCs w:val="18"/>
          <w:color w:val="59595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0"/>
        <w:spacing w:after="0"/>
        <w:rPr>
          <w:sz w:val="20"/>
          <w:szCs w:val="20"/>
          <w:color w:val="auto"/>
        </w:rPr>
      </w:pPr>
      <w:r>
        <w:rPr>
          <w:sz w:val="1"/>
          <w:szCs w:val="1"/>
          <w:color w:val="auto"/>
        </w:rPr>
        <w:drawing>
          <wp:inline distT="0" distB="0" distL="0" distR="0">
            <wp:extent cx="300990" cy="57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300990" cy="57150"/>
                    </a:xfrm>
                    <a:prstGeom prst="rect">
                      <a:avLst/>
                    </a:prstGeom>
                    <a:noFill/>
                    <a:ln>
                      <a:noFill/>
                    </a:ln>
                  </pic:spPr>
                </pic:pic>
              </a:graphicData>
            </a:graphic>
          </wp:inline>
        </w:drawing>
      </w:r>
      <w:r>
        <w:rPr>
          <w:rFonts w:ascii="Arial" w:cs="Arial" w:eastAsia="Arial" w:hAnsi="Arial"/>
          <w:sz w:val="13"/>
          <w:szCs w:val="13"/>
          <w:color w:val="595959"/>
        </w:rPr>
        <w:t xml:space="preserve">SoundHound AI Inc.,    </w:t>
      </w:r>
      <w:r>
        <w:rPr>
          <w:sz w:val="1"/>
          <w:szCs w:val="1"/>
          <w:color w:val="auto"/>
        </w:rPr>
        <w:drawing>
          <wp:inline distT="0" distB="0" distL="0" distR="0">
            <wp:extent cx="300990" cy="57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300990" cy="57150"/>
                    </a:xfrm>
                    <a:prstGeom prst="rect">
                      <a:avLst/>
                    </a:prstGeom>
                    <a:noFill/>
                    <a:ln>
                      <a:noFill/>
                    </a:ln>
                  </pic:spPr>
                </pic:pic>
              </a:graphicData>
            </a:graphic>
          </wp:inline>
        </w:drawing>
      </w:r>
      <w:r>
        <w:rPr>
          <w:rFonts w:ascii="Arial" w:cs="Arial" w:eastAsia="Arial" w:hAnsi="Arial"/>
          <w:sz w:val="13"/>
          <w:szCs w:val="13"/>
          <w:color w:val="595959"/>
        </w:rPr>
        <w:t xml:space="preserve">NASDAQ Composite Index    </w:t>
      </w:r>
      <w:r>
        <w:rPr>
          <w:sz w:val="1"/>
          <w:szCs w:val="1"/>
          <w:color w:val="auto"/>
        </w:rPr>
        <w:drawing>
          <wp:inline distT="0" distB="0" distL="0" distR="0">
            <wp:extent cx="300990" cy="57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300990" cy="57150"/>
                    </a:xfrm>
                    <a:prstGeom prst="rect">
                      <a:avLst/>
                    </a:prstGeom>
                    <a:noFill/>
                    <a:ln>
                      <a:noFill/>
                    </a:ln>
                  </pic:spPr>
                </pic:pic>
              </a:graphicData>
            </a:graphic>
          </wp:inline>
        </w:drawing>
      </w:r>
      <w:r>
        <w:rPr>
          <w:rFonts w:ascii="Arial" w:cs="Arial" w:eastAsia="Arial" w:hAnsi="Arial"/>
          <w:sz w:val="13"/>
          <w:szCs w:val="13"/>
          <w:color w:val="595959"/>
        </w:rPr>
        <w:t>Peer Index</w:t>
      </w:r>
    </w:p>
    <w:p>
      <w:pPr>
        <w:sectPr>
          <w:pgSz w:w="12240" w:h="15840" w:orient="portrait"/>
          <w:cols w:equalWidth="0" w:num="1">
            <w:col w:w="9360"/>
          </w:cols>
          <w:pgMar w:left="1440" w:top="941" w:right="1440" w:bottom="1440" w:gutter="0" w:footer="0" w:header="0"/>
          <w:type w:val="continuous"/>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30" w:name="page131"/>
    <w:bookmarkEnd w:id="13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31" w:name="page132"/>
    <w:bookmarkEnd w:id="131"/>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6"/>
      <w:numFmt w:val="bullet"/>
      <w:start w:val="1"/>
    </w:lvl>
  </w:abstractNum>
  <w:abstractNum w:abstractNumId="1">
    <w:nsid w:val="1E7FF521"/>
    <w:multiLevelType w:val="hybridMultilevel"/>
    <w:lvl w:ilvl="0">
      <w:lvlJc w:val="left"/>
      <w:lvlText w:val=""/>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Roman"/>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2"/>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lowerRoman"/>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lowerRoman"/>
      <w:start w:val="3"/>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1)"/>
      <w:numFmt w:val="decimal"/>
      <w:start w:val="2"/>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lowerRoman"/>
      <w:start w:val="3"/>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lowerLetter"/>
      <w:start w:val="1"/>
    </w:lvl>
    <w:lvl w:ilvl="1">
      <w:lvlJc w:val="left"/>
      <w:lvlText w:val="%2."/>
      <w:numFmt w:val="decimal"/>
      <w:start w:val="1"/>
    </w:lvl>
  </w:abstractNum>
  <w:abstractNum w:abstractNumId="54">
    <w:nsid w:val="1CF10FD8"/>
    <w:multiLevelType w:val="hybridMultilevel"/>
    <w:lvl w:ilvl="0">
      <w:lvlJc w:val="left"/>
      <w:lvlText w:val="%1"/>
      <w:numFmt w:val="decimal"/>
      <w:start w:val="104"/>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2024-04-30T07:54:38Z</dcterms:created>
  <dcterms:modified xsi:type="dcterms:W3CDTF">2024-04-30T07:54:38Z</dcterms:modified>
</cp:coreProperties>
</file>