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619" w:hanging="5193"/>
        <w:spacing w:after="0" w:line="375"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November 22, 2022. Registration No. 333-267501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20955</wp:posOffset>
            </wp:positionV>
            <wp:extent cx="49510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2 TO</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00" w:lineRule="exact"/>
        <w:rPr>
          <w:sz w:val="24"/>
          <w:szCs w:val="24"/>
          <w:color w:val="auto"/>
        </w:rPr>
      </w:pPr>
    </w:p>
    <w:tbl>
      <w:tblPr>
        <w:tblLayout w:type="fixed"/>
        <w:tblInd w:w="620" w:type="dxa"/>
        <w:tblCellMar>
          <w:top w:w="0" w:type="dxa"/>
          <w:left w:w="0" w:type="dxa"/>
          <w:bottom w:w="0" w:type="dxa"/>
          <w:right w:w="0" w:type="dxa"/>
        </w:tblCellMar>
      </w:tblPr>
      <w:tr>
        <w:trPr>
          <w:trHeight w:val="228"/>
        </w:trPr>
        <w:tc>
          <w:tcPr>
            <w:tcW w:w="25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7372</w:t>
            </w:r>
          </w:p>
        </w:tc>
        <w:tc>
          <w:tcPr>
            <w:tcW w:w="80" w:type="dxa"/>
            <w:vAlign w:val="bottom"/>
          </w:tcPr>
          <w:p>
            <w:pPr>
              <w:spacing w:after="0"/>
              <w:rPr>
                <w:sz w:val="19"/>
                <w:szCs w:val="19"/>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86-1286799</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5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80" w:type="dxa"/>
            <w:vAlign w:val="bottom"/>
            <w:vMerge w:val="continue"/>
          </w:tcPr>
          <w:p>
            <w:pPr>
              <w:spacing w:after="0"/>
              <w:rPr>
                <w:sz w:val="15"/>
                <w:szCs w:val="15"/>
                <w:color w:val="auto"/>
              </w:rPr>
            </w:pPr>
          </w:p>
        </w:tc>
        <w:tc>
          <w:tcPr>
            <w:tcW w:w="252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80" w:type="dxa"/>
            <w:vAlign w:val="bottom"/>
            <w:vMerge w:val="continue"/>
          </w:tcPr>
          <w:p>
            <w:pPr>
              <w:spacing w:after="0"/>
              <w:rPr>
                <w:sz w:val="15"/>
                <w:szCs w:val="15"/>
                <w:color w:val="auto"/>
              </w:rPr>
            </w:pPr>
          </w:p>
        </w:tc>
        <w:tc>
          <w:tcPr>
            <w:tcW w:w="2600" w:type="dxa"/>
            <w:vAlign w:val="bottom"/>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28"/>
        </w:trPr>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c>
          <w:tcPr>
            <w:tcW w:w="0" w:type="dxa"/>
            <w:vAlign w:val="bottom"/>
          </w:tcPr>
          <w:p>
            <w:pPr>
              <w:spacing w:after="0"/>
              <w:rPr>
                <w:sz w:val="1"/>
                <w:szCs w:val="1"/>
                <w:color w:val="auto"/>
              </w:rPr>
            </w:pPr>
          </w:p>
        </w:tc>
      </w:tr>
      <w:tr>
        <w:trPr>
          <w:trHeight w:val="395"/>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offices)</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 Keyvan Mohajer</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Douglas Ellenoff, Esq.</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Matthew Bernstein, Esq.</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p>
      <w:pPr>
        <w:jc w:val="center"/>
        <w:ind w:right="19"/>
        <w:spacing w:after="0" w:line="231" w:lineRule="auto"/>
        <w:rPr>
          <w:sz w:val="20"/>
          <w:szCs w:val="20"/>
          <w:color w:val="auto"/>
        </w:rPr>
      </w:pPr>
      <w:r>
        <w:rPr>
          <w:rFonts w:ascii="Times New Roman" w:cs="Times New Roman" w:eastAsia="Times New Roman" w:hAnsi="Times New Roman"/>
          <w:sz w:val="17"/>
          <w:szCs w:val="17"/>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New York, New York 10105</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Telephone: (212) 370-1300</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Fax: (212) 370-7889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9" w:lineRule="exact"/>
        <w:rPr>
          <w:sz w:val="24"/>
          <w:szCs w:val="24"/>
          <w:color w:val="auto"/>
        </w:rPr>
      </w:pPr>
    </w:p>
    <w:p>
      <w:pPr>
        <w:jc w:val="both"/>
        <w:ind w:left="600" w:right="619" w:firstLine="416"/>
        <w:spacing w:after="0" w:line="243"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2" w:lineRule="exact"/>
        <w:rPr>
          <w:sz w:val="24"/>
          <w:szCs w:val="24"/>
          <w:color w:val="auto"/>
        </w:rPr>
      </w:pPr>
    </w:p>
    <w:p>
      <w:pPr>
        <w:jc w:val="both"/>
        <w:ind w:left="600" w:right="619" w:firstLine="416"/>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600" w:right="619" w:firstLine="416"/>
        <w:spacing w:after="0" w:line="241"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spacing w:after="0" w:line="1" w:lineRule="exact"/>
        <w:rPr>
          <w:sz w:val="24"/>
          <w:szCs w:val="24"/>
          <w:color w:val="auto"/>
        </w:rPr>
      </w:pPr>
    </w:p>
    <w:p>
      <w:pPr>
        <w:ind w:left="600"/>
        <w:spacing w:after="0" w:line="141" w:lineRule="exact"/>
        <w:rPr>
          <w:sz w:val="20"/>
          <w:szCs w:val="20"/>
          <w:color w:val="auto"/>
        </w:rPr>
      </w:pPr>
      <w:r>
        <w:rPr>
          <w:rFonts w:ascii="MS PGothic" w:cs="MS PGothic" w:eastAsia="MS PGothic" w:hAnsi="MS PGothic"/>
          <w:sz w:val="14"/>
          <w:szCs w:val="14"/>
          <w:color w:val="auto"/>
        </w:rPr>
        <w:t>☐</w:t>
      </w:r>
    </w:p>
    <w:p>
      <w:pPr>
        <w:spacing w:after="0" w:line="45"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3"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left="600" w:right="619" w:firstLine="416"/>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960" w:type="dxa"/>
        <w:tblCellMar>
          <w:top w:w="0" w:type="dxa"/>
          <w:left w:w="0" w:type="dxa"/>
          <w:bottom w:w="0" w:type="dxa"/>
          <w:right w:w="0" w:type="dxa"/>
        </w:tblCellMar>
      </w:tblPr>
      <w:tr>
        <w:trPr>
          <w:trHeight w:val="217"/>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1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4"/>
        </w:trPr>
        <w:tc>
          <w:tcPr>
            <w:tcW w:w="14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16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3"/>
        </w:trPr>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2" w:lineRule="exact"/>
        <w:rPr>
          <w:sz w:val="24"/>
          <w:szCs w:val="24"/>
          <w:color w:val="auto"/>
        </w:rPr>
      </w:pPr>
    </w:p>
    <w:p>
      <w:pPr>
        <w:jc w:val="both"/>
        <w:ind w:left="600" w:right="619" w:firstLine="416"/>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00" w:right="619" w:firstLine="416"/>
        <w:spacing w:after="0" w:line="227"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40005</wp:posOffset>
            </wp:positionV>
            <wp:extent cx="495109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81280</wp:posOffset>
            </wp:positionV>
            <wp:extent cx="49510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344805</wp:posOffset>
            </wp:positionV>
            <wp:extent cx="4951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 w:name="page2"/>
    <w:bookmarkEnd w:id="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7" w:lineRule="exact"/>
        <w:rPr>
          <w:sz w:val="20"/>
          <w:szCs w:val="20"/>
          <w:color w:val="auto"/>
        </w:rPr>
      </w:pPr>
    </w:p>
    <w:p>
      <w:pPr>
        <w:ind w:left="600"/>
        <w:spacing w:after="0"/>
        <w:tabs>
          <w:tab w:leader="none" w:pos="6080" w:val="left"/>
        </w:tabs>
        <w:rPr>
          <w:sz w:val="20"/>
          <w:szCs w:val="20"/>
          <w:color w:val="auto"/>
        </w:rPr>
      </w:pPr>
      <w:r>
        <w:rPr>
          <w:rFonts w:ascii="Times New Roman" w:cs="Times New Roman" w:eastAsia="Times New Roman" w:hAnsi="Times New Roman"/>
          <w:sz w:val="17"/>
          <w:szCs w:val="17"/>
          <w:b w:val="1"/>
          <w:bCs w:val="1"/>
          <w:color w:val="D2232A"/>
        </w:rPr>
        <w:t>PRELIMINARY PROSPECTUS SUBJECT TO COMPLETION</w:t>
      </w:r>
      <w:r>
        <w:rPr>
          <w:sz w:val="20"/>
          <w:szCs w:val="20"/>
          <w:color w:val="auto"/>
        </w:rPr>
        <w:tab/>
      </w:r>
      <w:r>
        <w:rPr>
          <w:rFonts w:ascii="Times New Roman" w:cs="Times New Roman" w:eastAsia="Times New Roman" w:hAnsi="Times New Roman"/>
          <w:sz w:val="17"/>
          <w:szCs w:val="17"/>
          <w:b w:val="1"/>
          <w:bCs w:val="1"/>
          <w:color w:val="D2232A"/>
        </w:rPr>
        <w:t>DATED NOVEMBER 22, 2022</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25,250,000 Shares of Class A Common Stock</w:t>
      </w:r>
    </w:p>
    <w:p>
      <w:pPr>
        <w:spacing w:after="0" w:line="13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relates to the potential offer and sale from time to time by CF Principal Investments LLC (“Cantor” the “Holder”) of up to 25,000,000 shares of Class A common stock, par value $0.0001 per share (the “Class A Shares” or the “Class A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99" w:lineRule="exact"/>
        <w:rPr>
          <w:sz w:val="20"/>
          <w:szCs w:val="20"/>
          <w:color w:val="auto"/>
        </w:rPr>
      </w:pPr>
    </w:p>
    <w:p>
      <w:pPr>
        <w:jc w:val="both"/>
        <w:ind w:left="600" w:right="619" w:firstLine="416"/>
        <w:spacing w:after="0" w:line="254"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Global Market on the trading day immediately prior to the True-Up Date), in the aggregate, is less than $1 Million, the Company will pay to the Holder the difference between $1 Million and the applicable net proceeds. See “The Committed Equity Financing” for a description of the Purchase Agreement and the Facility and “Selling Holder” for additional information regarding Cantor.</w:t>
      </w:r>
    </w:p>
    <w:p>
      <w:pPr>
        <w:spacing w:after="0" w:line="32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 beginning on page 115.</w:t>
      </w:r>
    </w:p>
    <w:p>
      <w:pPr>
        <w:spacing w:after="0" w:line="103"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Class A Common Stock is listed on the Global Market of The Nasdaq Stock Market LLC (“Nasdaq”) under the symbol “SOUN.” On November 15, 2022, the last reported sale price of our Class A Common Stock was $1.82 per share.</w:t>
      </w:r>
    </w:p>
    <w:p>
      <w:pPr>
        <w:spacing w:after="0" w:line="82"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b w:val="1"/>
          <w:bCs w:val="1"/>
          <w:color w:val="auto"/>
        </w:rPr>
        <w:t>We are an “emerging growth company” under federal securities laws and are subject to reduced public company reporting requirements.</w:t>
      </w:r>
    </w:p>
    <w:p>
      <w:pPr>
        <w:spacing w:after="0" w:line="6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13 of this prospectus, in any amendment or supplements to this prospectus.</w:t>
      </w:r>
    </w:p>
    <w:p>
      <w:pPr>
        <w:spacing w:after="0" w:line="8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84"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46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3120" w:type="dxa"/>
            <w:vAlign w:val="bottom"/>
          </w:tcPr>
          <w:p>
            <w:pPr>
              <w:jc w:val="right"/>
              <w:ind w:right="2273"/>
              <w:spacing w:after="0"/>
              <w:rPr>
                <w:sz w:val="20"/>
                <w:szCs w:val="20"/>
                <w:color w:val="auto"/>
              </w:rPr>
            </w:pPr>
            <w:r>
              <w:rPr>
                <w:rFonts w:ascii="Times New Roman" w:cs="Times New Roman" w:eastAsia="Times New Roman" w:hAnsi="Times New Roman"/>
                <w:sz w:val="17"/>
                <w:szCs w:val="17"/>
                <w:color w:val="auto"/>
              </w:rPr>
              <w:t>, 2022.</w:t>
            </w:r>
          </w:p>
        </w:tc>
      </w:tr>
      <w:tr>
        <w:trPr>
          <w:trHeight w:val="377"/>
        </w:trPr>
        <w:tc>
          <w:tcPr>
            <w:tcW w:w="4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554" w:gutter="0" w:footer="0" w:header="0"/>
        </w:sectPr>
      </w:pPr>
    </w:p>
    <w:bookmarkStart w:id="2" w:name="page3"/>
    <w:bookmarkEnd w:id="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1"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Borders>
              <w:bottom w:val="single" w:sz="8" w:color="0000EE"/>
            </w:tcBorders>
          </w:tcPr>
          <w:p>
            <w:pPr>
              <w:spacing w:after="0"/>
              <w:rPr>
                <w:sz w:val="22"/>
                <w:szCs w:val="22"/>
                <w:color w:val="auto"/>
              </w:rPr>
            </w:pPr>
          </w:p>
        </w:tc>
        <w:tc>
          <w:tcPr>
            <w:tcW w:w="21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4780" w:type="dxa"/>
            <w:vAlign w:val="bottom"/>
            <w:tcBorders>
              <w:bottom w:val="single" w:sz="8" w:color="CCEEFF"/>
            </w:tcBorders>
            <w:gridSpan w:val="19"/>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MARKET AND INDUSTRY DATA</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560" w:type="dxa"/>
            <w:vAlign w:val="bottom"/>
            <w:tcBorders>
              <w:bottom w:val="single" w:sz="8" w:color="0000EE"/>
            </w:tcBorders>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60" w:type="dxa"/>
            <w:vAlign w:val="bottom"/>
            <w:tcBorders>
              <w:bottom w:val="single" w:sz="8" w:color="CCEEFF"/>
            </w:tcBorders>
            <w:gridSpan w:val="3"/>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73"/>
              <w:spacing w:after="0"/>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PROSPECTUS SUMMARY</w:t>
            </w:r>
          </w:p>
        </w:tc>
        <w:tc>
          <w:tcPr>
            <w:tcW w:w="86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1220" w:type="dxa"/>
            <w:vAlign w:val="bottom"/>
            <w:tcBorders>
              <w:bottom w:val="single" w:sz="8" w:color="0000EE"/>
            </w:tcBorders>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THE OFFERING</w:t>
            </w:r>
          </w:p>
        </w:tc>
        <w:tc>
          <w:tcPr>
            <w:tcW w:w="5700" w:type="dxa"/>
            <w:vAlign w:val="bottom"/>
            <w:tcBorders>
              <w:bottom w:val="single" w:sz="8" w:color="CCEEFF"/>
            </w:tcBorders>
            <w:gridSpan w:val="2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RISK FACTORS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100" w:type="dxa"/>
            <w:vAlign w:val="bottom"/>
            <w:tcBorders>
              <w:bottom w:val="single" w:sz="8" w:color="0000EE"/>
            </w:tcBorders>
            <w:gridSpan w:val="21"/>
            <w:shd w:val="clear" w:color="auto" w:fill="CCEEFF"/>
          </w:tcPr>
          <w:p>
            <w:pPr>
              <w:spacing w:after="0"/>
              <w:rPr>
                <w:sz w:val="20"/>
                <w:szCs w:val="20"/>
                <w:color w:val="auto"/>
              </w:rPr>
            </w:pPr>
            <w:r>
              <w:rPr>
                <w:rFonts w:ascii="Times New Roman" w:cs="Times New Roman" w:eastAsia="Times New Roman" w:hAnsi="Times New Roman"/>
                <w:sz w:val="17"/>
                <w:szCs w:val="17"/>
                <w:color w:val="0000EE"/>
              </w:rPr>
              <w:t>THE COMMITTED EQUITY FINANCING</w:t>
            </w:r>
          </w:p>
        </w:tc>
        <w:tc>
          <w:tcPr>
            <w:tcW w:w="3820" w:type="dxa"/>
            <w:vAlign w:val="bottom"/>
            <w:tcBorders>
              <w:bottom w:val="single" w:sz="8" w:color="CCEEFF"/>
            </w:tcBorders>
            <w:gridSpan w:val="10"/>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USE OF PROCEEDS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DETERMINATION OF OFFERING PRICE</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vMerge w:val="restart"/>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MARKET INFORMATION FOR CLASS A COMMON STOCK AND WARRANTS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360" w:type="dxa"/>
            <w:vAlign w:val="bottom"/>
            <w:tcBorders>
              <w:top w:val="single" w:sz="8" w:color="0000EE"/>
            </w:tcBorders>
            <w:gridSpan w:val="29"/>
          </w:tcPr>
          <w:p>
            <w:pPr>
              <w:ind w:left="160"/>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560" w:type="dxa"/>
            <w:vAlign w:val="bottom"/>
            <w:gridSpan w:val="2"/>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ATSP</w:t>
            </w:r>
          </w:p>
        </w:tc>
        <w:tc>
          <w:tcPr>
            <w:tcW w:w="4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920" w:type="dxa"/>
            <w:vAlign w:val="bottom"/>
            <w:gridSpan w:val="31"/>
          </w:tcPr>
          <w:p>
            <w:pPr>
              <w:spacing w:after="0" w:line="169"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480" w:type="dxa"/>
            <w:vAlign w:val="bottom"/>
            <w:tcBorders>
              <w:top w:val="single" w:sz="8" w:color="0000EE"/>
            </w:tcBorders>
            <w:gridSpan w:val="30"/>
          </w:tcPr>
          <w:p>
            <w:pPr>
              <w:ind w:left="160"/>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 AI</w:t>
            </w:r>
          </w:p>
        </w:tc>
        <w:tc>
          <w:tcPr>
            <w:tcW w:w="440" w:type="dxa"/>
            <w:vAlign w:val="bottom"/>
          </w:tcPr>
          <w:p>
            <w:pPr>
              <w:spacing w:after="0"/>
              <w:rPr>
                <w:sz w:val="16"/>
                <w:szCs w:val="16"/>
                <w:color w:val="auto"/>
              </w:rPr>
            </w:pPr>
          </w:p>
        </w:tc>
        <w:tc>
          <w:tcPr>
            <w:tcW w:w="860" w:type="dxa"/>
            <w:vAlign w:val="bottom"/>
          </w:tcPr>
          <w:p>
            <w:pPr>
              <w:jc w:val="center"/>
              <w:ind w:left="193"/>
              <w:spacing w:after="0" w:line="188"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BUSINESS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MANAGEMENT</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34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EXECUTIVE COMPENSATION</w:t>
            </w:r>
          </w:p>
        </w:tc>
        <w:tc>
          <w:tcPr>
            <w:tcW w:w="4580" w:type="dxa"/>
            <w:vAlign w:val="bottom"/>
            <w:tcBorders>
              <w:bottom w:val="single" w:sz="8" w:color="CCEEFF"/>
            </w:tcBorders>
            <w:gridSpan w:val="16"/>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89</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DIRECTOR COMPENSATION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700" w:type="dxa"/>
            <w:vAlign w:val="bottom"/>
            <w:tcBorders>
              <w:bottom w:val="single" w:sz="8" w:color="0000EE"/>
            </w:tcBorders>
            <w:gridSpan w:val="23"/>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EXECUTIVE COMPENSTION ARRANGEMENTS</w:t>
            </w:r>
          </w:p>
        </w:tc>
        <w:tc>
          <w:tcPr>
            <w:tcW w:w="3220" w:type="dxa"/>
            <w:vAlign w:val="bottom"/>
            <w:tcBorders>
              <w:bottom w:val="single" w:sz="8" w:color="CCEEFF"/>
            </w:tcBorders>
            <w:gridSpan w:val="8"/>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PRINCIPAL STOCKHOLDERS</w:t>
            </w:r>
          </w:p>
        </w:tc>
        <w:tc>
          <w:tcPr>
            <w:tcW w:w="4640" w:type="dxa"/>
            <w:vAlign w:val="bottom"/>
            <w:tcBorders>
              <w:bottom w:val="single" w:sz="8" w:color="CCEEFF"/>
            </w:tcBorders>
            <w:gridSpan w:val="17"/>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SELLING STOCKHOLDER</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PLAN OF DISTRIBUTION (CONFLICT OF INTEREST)</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195"/>
        </w:trPr>
        <w:tc>
          <w:tcPr>
            <w:tcW w:w="41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7"/>
                <w:szCs w:val="17"/>
                <w:color w:val="0000EE"/>
              </w:rPr>
              <w:t>DESCRIPTION OF CAPITAL STOCK</w:t>
            </w:r>
          </w:p>
        </w:tc>
        <w:tc>
          <w:tcPr>
            <w:tcW w:w="2840" w:type="dxa"/>
            <w:vAlign w:val="bottom"/>
            <w:tcBorders>
              <w:top w:val="single" w:sz="8" w:color="CCEEFF"/>
            </w:tcBorders>
            <w:gridSpan w:val="6"/>
          </w:tcPr>
          <w:p>
            <w:pPr>
              <w:spacing w:after="0"/>
              <w:rPr>
                <w:sz w:val="16"/>
                <w:szCs w:val="16"/>
                <w:color w:val="auto"/>
              </w:rPr>
            </w:pPr>
          </w:p>
        </w:tc>
        <w:tc>
          <w:tcPr>
            <w:tcW w:w="860" w:type="dxa"/>
            <w:vAlign w:val="bottom"/>
            <w:tcBorders>
              <w:top w:val="single" w:sz="8" w:color="CCEEFF"/>
            </w:tcBorders>
          </w:tcPr>
          <w:p>
            <w:pPr>
              <w:jc w:val="center"/>
              <w:ind w:left="193"/>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532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1600" w:type="dxa"/>
            <w:vAlign w:val="bottom"/>
            <w:tcBorders>
              <w:bottom w:val="single" w:sz="8" w:color="CCEEFF"/>
            </w:tcBorders>
            <w:gridSpan w:val="4"/>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123</w:t>
            </w: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LEGAL MATTERS</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EXPERTS</w:t>
            </w:r>
          </w:p>
        </w:tc>
        <w:tc>
          <w:tcPr>
            <w:tcW w:w="8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6940" w:type="dxa"/>
            <w:vAlign w:val="bottom"/>
            <w:gridSpan w:val="32"/>
          </w:tcPr>
          <w:p>
            <w:pPr>
              <w:spacing w:after="0"/>
              <w:rPr>
                <w:sz w:val="20"/>
                <w:szCs w:val="20"/>
                <w:color w:val="auto"/>
              </w:rPr>
            </w:pPr>
            <w:r>
              <w:rPr>
                <w:rFonts w:ascii="Times New Roman" w:cs="Times New Roman" w:eastAsia="Times New Roman" w:hAnsi="Times New Roman"/>
                <w:sz w:val="17"/>
                <w:szCs w:val="17"/>
                <w:color w:val="0000EE"/>
              </w:rPr>
              <w:t>WHERE YOU CAN FIND MORE INFORMATION</w:t>
            </w:r>
          </w:p>
        </w:tc>
        <w:tc>
          <w:tcPr>
            <w:tcW w:w="86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92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INDEX TO FINANCIAL STATEMENTS</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Our registration of the securities covered by this prospectus does not mean that either we or the Holder will issue, offer or sell, as applicable, any of the securities registered hereunder. Under this registration statement,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9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AI” refer to, a Delaware corporation. Further, in this document:</w:t>
      </w:r>
    </w:p>
    <w:p>
      <w:pPr>
        <w:spacing w:after="0" w:line="137" w:lineRule="exact"/>
        <w:rPr>
          <w:sz w:val="20"/>
          <w:szCs w:val="20"/>
          <w:color w:val="auto"/>
        </w:rPr>
      </w:pPr>
    </w:p>
    <w:p>
      <w:pPr>
        <w:jc w:val="both"/>
        <w:ind w:left="1440" w:right="619" w:hanging="418"/>
        <w:spacing w:after="0" w:line="274"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“ATSP” means Archimedes Tech SPAC Partners Co.</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contemplated by the Merger Agreement.</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2"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of ATSP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of ATSP and Private Units, excluding the holders of the representative shares issued to EarlyBirdCapital, Inc..</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 means SoundHound, Inc., prior to the consummation of the Business Combination.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ATSPC Merger Sub and SoundHound, Inc., as it may be amended or supplemented.</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330" w:lineRule="exact"/>
        <w:rPr>
          <w:sz w:val="20"/>
          <w:szCs w:val="20"/>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AI’s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(as defined in “</w:t>
      </w:r>
      <w:r>
        <w:rPr>
          <w:rFonts w:ascii="Times New Roman" w:cs="Times New Roman" w:eastAsia="Times New Roman" w:hAnsi="Times New Roman"/>
          <w:sz w:val="17"/>
          <w:szCs w:val="17"/>
          <w:i w:val="1"/>
          <w:iCs w:val="1"/>
          <w:color w:val="auto"/>
        </w:rPr>
        <w:t>Prospectus Summary</w:t>
      </w:r>
      <w:r>
        <w:rPr>
          <w:rFonts w:ascii="Times New Roman" w:cs="Times New Roman" w:eastAsia="Times New Roman" w:hAnsi="Times New Roman"/>
          <w:sz w:val="17"/>
          <w:szCs w:val="17"/>
          <w:color w:val="auto"/>
        </w:rPr>
        <w:t>” below), which may be affected by, among other things, competition and the ability of SoundHound AI to manage its growth;</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 including with respect to our AI technology;</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66"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spacing w:after="0" w:line="261" w:lineRule="auto"/>
        <w:rPr>
          <w:sz w:val="20"/>
          <w:szCs w:val="20"/>
          <w:color w:val="auto"/>
        </w:rPr>
      </w:pPr>
      <w:r>
        <w:rPr>
          <w:rFonts w:ascii="Times New Roman" w:cs="Times New Roman" w:eastAsia="Times New Roman" w:hAnsi="Times New Roman"/>
          <w:sz w:val="17"/>
          <w:szCs w:val="17"/>
          <w:color w:val="auto"/>
        </w:rPr>
        <w:t>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Moreover, we operate in a very competitive and rapidly changing environment. New risks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 w:name="page9"/>
    <w:bookmarkEnd w:id="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3381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55540" cy="833818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01"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61" w:lineRule="exact"/>
        <w:rPr>
          <w:sz w:val="20"/>
          <w:szCs w:val="20"/>
          <w:color w:val="auto"/>
        </w:rPr>
      </w:pPr>
    </w:p>
    <w:p>
      <w:pPr>
        <w:jc w:val="both"/>
        <w:ind w:left="700" w:right="69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6" w:lineRule="exact"/>
        <w:rPr>
          <w:sz w:val="20"/>
          <w:szCs w:val="20"/>
          <w:color w:val="auto"/>
        </w:rPr>
      </w:pPr>
    </w:p>
    <w:p>
      <w:pPr>
        <w:jc w:val="both"/>
        <w:ind w:left="700" w:right="69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8"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 w:name="page10"/>
    <w:bookmarkEnd w:id="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428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55540" cy="842899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40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6" w:lineRule="exact"/>
        <w:rPr>
          <w:sz w:val="20"/>
          <w:szCs w:val="20"/>
          <w:color w:val="auto"/>
        </w:rPr>
      </w:pPr>
    </w:p>
    <w:p>
      <w:pPr>
        <w:jc w:val="both"/>
        <w:ind w:left="700" w:right="69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3" w:lineRule="exact"/>
        <w:rPr>
          <w:sz w:val="20"/>
          <w:szCs w:val="20"/>
          <w:color w:val="auto"/>
        </w:rPr>
      </w:pPr>
    </w:p>
    <w:p>
      <w:pPr>
        <w:jc w:val="both"/>
        <w:ind w:left="700" w:right="69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7"/>
          <w:szCs w:val="17"/>
          <w:color w:val="auto"/>
        </w:rPr>
        <w:t>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074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55540" cy="807402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Wake Words </w:t>
      </w:r>
      <w:r>
        <w:rPr>
          <w:rFonts w:ascii="Times New Roman" w:cs="Times New Roman" w:eastAsia="Times New Roman" w:hAnsi="Times New Roman"/>
          <w:sz w:val="17"/>
          <w:szCs w:val="17"/>
          <w:color w:val="auto"/>
        </w:rPr>
        <w:t>are the entry point into branded voice experiences, allowing users to invoke the assistant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15"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Custom Domains, </w:t>
      </w:r>
      <w:r>
        <w:rPr>
          <w:rFonts w:ascii="Times New Roman" w:cs="Times New Roman" w:eastAsia="Times New Roman" w:hAnsi="Times New Roman"/>
          <w:sz w:val="17"/>
          <w:szCs w:val="17"/>
          <w:color w:val="auto"/>
        </w:rPr>
        <w:t>a library of over 100 public domains, is available with a free Houndify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96"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Text-to-speech (“TTS”). </w:t>
      </w:r>
      <w:r>
        <w:rPr>
          <w:rFonts w:ascii="Times New Roman" w:cs="Times New Roman" w:eastAsia="Times New Roman" w:hAnsi="Times New Roman"/>
          <w:sz w:val="17"/>
          <w:szCs w:val="17"/>
          <w:color w:val="auto"/>
        </w:rPr>
        <w:t>A high-quality TTS can help companies create a unique voice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315" w:lineRule="exact"/>
        <w:rPr>
          <w:sz w:val="20"/>
          <w:szCs w:val="20"/>
          <w:color w:val="auto"/>
        </w:rPr>
      </w:pPr>
    </w:p>
    <w:p>
      <w:pPr>
        <w:jc w:val="both"/>
        <w:ind w:left="700" w:right="69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Edge (Embedded) is a </w:t>
      </w:r>
      <w:r>
        <w:rPr>
          <w:rFonts w:ascii="Times New Roman" w:cs="Times New Roman" w:eastAsia="Times New Roman" w:hAnsi="Times New Roman"/>
          <w:sz w:val="17"/>
          <w:szCs w:val="17"/>
          <w:color w:val="auto"/>
        </w:rPr>
        <w:t>fully-embedded voice solution for brands seeking the convenience of a voice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interface without the privacy or connectivity concerns of the internet. Edge includes full access to custom commands and the ability to instantly update commands during development. During the three and nine months ended September 30, 2022, we recognized $5.3 million of licensing revenue from our Houndify Edge solution, which we delivered to a customer during the three months ended September 30, 2022.</w:t>
      </w:r>
    </w:p>
    <w:p>
      <w:pPr>
        <w:spacing w:after="0" w:line="105" w:lineRule="exact"/>
        <w:rPr>
          <w:sz w:val="20"/>
          <w:szCs w:val="20"/>
          <w:color w:val="auto"/>
        </w:rPr>
      </w:pPr>
    </w:p>
    <w:p>
      <w:pPr>
        <w:jc w:val="both"/>
        <w:ind w:left="700" w:right="7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Competitive Advantage</w:t>
      </w:r>
    </w:p>
    <w:p>
      <w:pPr>
        <w:spacing w:after="0" w:line="144"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2"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Revenue Model</w:t>
      </w:r>
    </w:p>
    <w:p>
      <w:pPr>
        <w:spacing w:after="0" w:line="157"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ectPr>
          <w:pgSz w:w="11900" w:h="16838" w:orient="portrait"/>
          <w:cols w:equalWidth="0" w:num="1">
            <w:col w:w="9019"/>
          </w:cols>
          <w:pgMar w:left="1440" w:top="264" w:right="1440" w:bottom="1440" w:gutter="0" w:footer="0" w:header="0"/>
          <w:type w:val="continuous"/>
        </w:sect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 w:name="page12"/>
    <w:bookmarkEnd w:id="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8387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55540" cy="838771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5" w:lineRule="exact"/>
        <w:rPr>
          <w:sz w:val="20"/>
          <w:szCs w:val="20"/>
          <w:color w:val="auto"/>
        </w:rPr>
      </w:pPr>
    </w:p>
    <w:p>
      <w:pPr>
        <w:jc w:val="both"/>
        <w:ind w:left="700" w:right="69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This involves voice-enabling a product. The product creator pays us a royalty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5" w:lineRule="exact"/>
        <w:rPr>
          <w:sz w:val="20"/>
          <w:szCs w:val="20"/>
          <w:color w:val="auto"/>
        </w:rPr>
      </w:pPr>
    </w:p>
    <w:p>
      <w:pPr>
        <w:jc w:val="both"/>
        <w:ind w:left="700" w:right="699" w:firstLine="41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This involves voice-enabling a service that doesn’t rely on a physical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297" w:lineRule="exact"/>
        <w:rPr>
          <w:sz w:val="20"/>
          <w:szCs w:val="20"/>
          <w:color w:val="auto"/>
        </w:rPr>
      </w:pPr>
    </w:p>
    <w:p>
      <w:pPr>
        <w:jc w:val="both"/>
        <w:ind w:left="700" w:right="69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Monetization: </w:t>
      </w:r>
      <w:r>
        <w:rPr>
          <w:rFonts w:ascii="Times New Roman" w:cs="Times New Roman" w:eastAsia="Times New Roman" w:hAnsi="Times New Roman"/>
          <w:sz w:val="17"/>
          <w:szCs w:val="17"/>
          <w:color w:val="auto"/>
        </w:rPr>
        <w:t>This pillar creates an ecosystem that enables monetization services in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September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Sales and Marketing</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Additionally, traffic has experienced over 100% growth through the first three quarters of 2022, compared to the same period in 2021. Information provided to us by our strategic partners suggests that our customers’ products are currently used by have a reach over a billion users.</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57"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7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44"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ectPr>
          <w:pgSz w:w="11900" w:h="16838" w:orient="portrait"/>
          <w:cols w:equalWidth="0" w:num="1">
            <w:col w:w="9019"/>
          </w:cols>
          <w:pgMar w:left="1440" w:top="264" w:right="1440" w:bottom="1440" w:gutter="0" w:footer="0" w:header="0"/>
          <w:type w:val="continuous"/>
        </w:sect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7727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55540" cy="7727950"/>
                    </a:xfrm>
                    <a:prstGeom prst="rect">
                      <a:avLst/>
                    </a:prstGeom>
                    <a:noFill/>
                  </pic:spPr>
                </pic:pic>
              </a:graphicData>
            </a:graphic>
          </wp:anchor>
        </w:drawing>
      </w:r>
    </w:p>
    <w:p>
      <w:pPr>
        <w:spacing w:after="0" w:line="3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57" w:lineRule="exact"/>
        <w:rPr>
          <w:sz w:val="20"/>
          <w:szCs w:val="20"/>
          <w:color w:val="auto"/>
        </w:rPr>
      </w:pPr>
    </w:p>
    <w:p>
      <w:pPr>
        <w:jc w:val="both"/>
        <w:ind w:left="700" w:right="699" w:firstLine="416"/>
        <w:spacing w:after="0" w:line="274"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97" w:lineRule="exact"/>
        <w:rPr>
          <w:sz w:val="20"/>
          <w:szCs w:val="20"/>
          <w:color w:val="auto"/>
        </w:rPr>
      </w:pPr>
    </w:p>
    <w:p>
      <w:pPr>
        <w:jc w:val="both"/>
        <w:ind w:left="1520" w:right="69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84"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81"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68" w:lineRule="exact"/>
        <w:rPr>
          <w:sz w:val="20"/>
          <w:szCs w:val="20"/>
          <w:color w:val="auto"/>
        </w:rPr>
      </w:pPr>
    </w:p>
    <w:p>
      <w:pPr>
        <w:jc w:val="both"/>
        <w:ind w:left="700" w:right="699" w:firstLine="416"/>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2" w:lineRule="exact"/>
        <w:rPr>
          <w:sz w:val="20"/>
          <w:szCs w:val="20"/>
          <w:color w:val="auto"/>
        </w:rPr>
      </w:pPr>
    </w:p>
    <w:p>
      <w:pPr>
        <w:jc w:val="both"/>
        <w:ind w:left="700" w:right="699" w:hanging="8"/>
        <w:spacing w:after="0" w:line="257" w:lineRule="auto"/>
        <w:tabs>
          <w:tab w:leader="none" w:pos="9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12" w:lineRule="exact"/>
        <w:rPr>
          <w:sz w:val="20"/>
          <w:szCs w:val="20"/>
          <w:color w:val="auto"/>
        </w:rPr>
      </w:pPr>
    </w:p>
    <w:p>
      <w:pPr>
        <w:jc w:val="both"/>
        <w:ind w:left="700" w:right="699" w:firstLine="416"/>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Factors</w:t>
      </w:r>
    </w:p>
    <w:p>
      <w:pPr>
        <w:spacing w:after="0" w:line="157" w:lineRule="exact"/>
        <w:rPr>
          <w:sz w:val="20"/>
          <w:szCs w:val="20"/>
          <w:color w:val="auto"/>
        </w:rPr>
      </w:pPr>
    </w:p>
    <w:p>
      <w:pPr>
        <w:jc w:val="both"/>
        <w:ind w:left="700" w:right="699" w:firstLine="416"/>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13 of this prospectus. These risks include, but are not limited to, the following:</w:t>
      </w:r>
    </w:p>
    <w:p>
      <w:pPr>
        <w:spacing w:after="0" w:line="1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Committed Equity Financing</w:t>
      </w:r>
    </w:p>
    <w:p>
      <w:pPr>
        <w:spacing w:after="0" w:line="146" w:lineRule="exact"/>
        <w:rPr>
          <w:sz w:val="20"/>
          <w:szCs w:val="20"/>
          <w:color w:val="auto"/>
        </w:rPr>
      </w:pPr>
    </w:p>
    <w:p>
      <w:pPr>
        <w:jc w:val="both"/>
        <w:ind w:left="1520" w:right="699" w:hanging="412"/>
        <w:spacing w:after="0" w:line="274"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shares of Class A Common Stock, if any, we will sell under the Purchase Agreement to Cantor, or the actual gross proceeds resulting from those sales.</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who buy shares of Class A Common Stock from the Holder at different times will likely pay different prices.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 w:name="page14"/>
    <w:bookmarkEnd w:id="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7942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55540" cy="7942580"/>
                    </a:xfrm>
                    <a:prstGeom prst="rect">
                      <a:avLst/>
                    </a:prstGeom>
                    <a:noFill/>
                  </pic:spPr>
                </pic:pic>
              </a:graphicData>
            </a:graphic>
          </wp:anchor>
        </w:drawing>
      </w:r>
    </w:p>
    <w:p>
      <w:pPr>
        <w:spacing w:after="0" w:line="317" w:lineRule="exact"/>
        <w:rPr>
          <w:sz w:val="20"/>
          <w:szCs w:val="20"/>
          <w:color w:val="auto"/>
        </w:rPr>
      </w:pPr>
    </w:p>
    <w:p>
      <w:pPr>
        <w:jc w:val="both"/>
        <w:ind w:left="1520" w:right="69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use proceeds from sales of shares of our Class A Common Stock made pursuant to the Purchase Agreement in ways with which you may not agree or in ways which may not yield a significant return.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SoundHound AI’s Business</w:t>
      </w:r>
    </w:p>
    <w:p>
      <w:pPr>
        <w:spacing w:after="0" w:line="146" w:lineRule="exact"/>
        <w:rPr>
          <w:sz w:val="20"/>
          <w:szCs w:val="20"/>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pacing w:after="0" w:line="81"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20" w:right="71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its revenues and gross margin will be adversely affected.</w:t>
      </w:r>
    </w:p>
    <w:p>
      <w:pPr>
        <w:spacing w:after="0" w:line="68"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97" w:lineRule="exact"/>
        <w:rPr>
          <w:rFonts w:ascii="Times New Roman" w:cs="Times New Roman" w:eastAsia="Times New Roman" w:hAnsi="Times New Roman"/>
          <w:sz w:val="17"/>
          <w:szCs w:val="17"/>
          <w:color w:val="auto"/>
        </w:rPr>
      </w:pPr>
    </w:p>
    <w:p>
      <w:pPr>
        <w:jc w:val="both"/>
        <w:ind w:left="1520" w:right="71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could harm SoundHound AI’s business and negatively affect our ability to successfully grow our business.</w:t>
      </w:r>
    </w:p>
    <w:p>
      <w:pPr>
        <w:spacing w:after="0" w:line="68"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81" w:lineRule="exact"/>
        <w:rPr>
          <w:rFonts w:ascii="Times New Roman" w:cs="Times New Roman" w:eastAsia="Times New Roman" w:hAnsi="Times New Roman"/>
          <w:sz w:val="17"/>
          <w:szCs w:val="17"/>
          <w:color w:val="auto"/>
        </w:rPr>
      </w:pPr>
    </w:p>
    <w:p>
      <w:pPr>
        <w:ind w:left="1520" w:right="699" w:hanging="412"/>
        <w:spacing w:after="0" w:line="293"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84" w:lineRule="exact"/>
        <w:rPr>
          <w:rFonts w:ascii="Times New Roman" w:cs="Times New Roman" w:eastAsia="Times New Roman" w:hAnsi="Times New Roman"/>
          <w:sz w:val="17"/>
          <w:szCs w:val="17"/>
          <w:color w:val="auto"/>
        </w:rPr>
      </w:pPr>
    </w:p>
    <w:p>
      <w:pPr>
        <w:jc w:val="both"/>
        <w:ind w:left="1520" w:right="699" w:hanging="412"/>
        <w:spacing w:after="0" w:line="274"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97"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5" w:lineRule="exact"/>
        <w:rPr>
          <w:rFonts w:ascii="Times New Roman" w:cs="Times New Roman" w:eastAsia="Times New Roman" w:hAnsi="Times New Roman"/>
          <w:sz w:val="17"/>
          <w:szCs w:val="17"/>
          <w:color w:val="auto"/>
        </w:rPr>
      </w:pPr>
    </w:p>
    <w:p>
      <w:pPr>
        <w:jc w:val="both"/>
        <w:ind w:left="1520" w:right="699" w:hanging="412"/>
        <w:spacing w:after="0" w:line="285" w:lineRule="auto"/>
        <w:tabs>
          <w:tab w:leader="none" w:pos="15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146" w:lineRule="exact"/>
        <w:rPr>
          <w:sz w:val="20"/>
          <w:szCs w:val="20"/>
          <w:color w:val="auto"/>
        </w:rPr>
      </w:pPr>
    </w:p>
    <w:p>
      <w:pPr>
        <w:ind w:left="1520" w:right="699" w:hanging="412"/>
        <w:spacing w:after="0" w:line="293" w:lineRule="auto"/>
        <w:tabs>
          <w:tab w:leader="none" w:pos="15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81" w:lineRule="exact"/>
        <w:rPr>
          <w:rFonts w:ascii="Times New Roman" w:cs="Times New Roman" w:eastAsia="Times New Roman" w:hAnsi="Times New Roman"/>
          <w:sz w:val="17"/>
          <w:szCs w:val="17"/>
          <w:color w:val="auto"/>
        </w:rPr>
      </w:pPr>
    </w:p>
    <w:p>
      <w:pPr>
        <w:ind w:left="1520" w:hanging="412"/>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44" w:lineRule="exact"/>
        <w:rPr>
          <w:sz w:val="20"/>
          <w:szCs w:val="20"/>
          <w:color w:val="auto"/>
        </w:rPr>
      </w:pPr>
    </w:p>
    <w:p>
      <w:pPr>
        <w:jc w:val="both"/>
        <w:ind w:left="700" w:right="699" w:firstLine="416"/>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 w:name="page15"/>
    <w:bookmarkEnd w:id="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17145</wp:posOffset>
            </wp:positionV>
            <wp:extent cx="4955540" cy="66878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55540" cy="6687820"/>
                    </a:xfrm>
                    <a:prstGeom prst="rect">
                      <a:avLst/>
                    </a:prstGeom>
                    <a:noFill/>
                  </pic:spPr>
                </pic:pic>
              </a:graphicData>
            </a:graphic>
          </wp:anchor>
        </w:drawing>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4" w:right="1440" w:bottom="1440" w:gutter="0" w:footer="0" w:header="0"/>
        </w:sectPr>
      </w:pPr>
    </w:p>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Issuer</w:t>
      </w:r>
    </w:p>
    <w:p>
      <w:pPr>
        <w:spacing w:after="0" w:line="207" w:lineRule="exact"/>
        <w:rPr>
          <w:sz w:val="20"/>
          <w:szCs w:val="20"/>
          <w:color w:val="auto"/>
        </w:rPr>
      </w:pPr>
    </w:p>
    <w:p>
      <w:pPr>
        <w:ind w:left="860" w:hanging="172"/>
        <w:spacing w:after="0" w:line="295" w:lineRule="auto"/>
        <w:rPr>
          <w:sz w:val="20"/>
          <w:szCs w:val="20"/>
          <w:color w:val="auto"/>
        </w:rPr>
      </w:pPr>
      <w:r>
        <w:rPr>
          <w:rFonts w:ascii="Times New Roman" w:cs="Times New Roman" w:eastAsia="Times New Roman" w:hAnsi="Times New Roman"/>
          <w:sz w:val="17"/>
          <w:szCs w:val="17"/>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25,250,000 shares, consisting of:</w:t>
      </w:r>
    </w:p>
    <w:p>
      <w:pPr>
        <w:spacing w:after="0" w:line="181" w:lineRule="exact"/>
        <w:rPr>
          <w:sz w:val="20"/>
          <w:szCs w:val="20"/>
          <w:color w:val="auto"/>
        </w:rPr>
      </w:pPr>
    </w:p>
    <w:p>
      <w:pPr>
        <w:jc w:val="both"/>
        <w:ind w:right="719"/>
        <w:spacing w:after="0" w:line="267" w:lineRule="auto"/>
        <w:rPr>
          <w:sz w:val="20"/>
          <w:szCs w:val="20"/>
          <w:color w:val="auto"/>
        </w:rPr>
      </w:pPr>
      <w:r>
        <w:rPr>
          <w:rFonts w:ascii="Times New Roman" w:cs="Times New Roman" w:eastAsia="Times New Roman" w:hAnsi="Times New Roman"/>
          <w:sz w:val="17"/>
          <w:szCs w:val="17"/>
          <w:color w:val="auto"/>
        </w:rPr>
        <w:t>The Commitment Shares, which are the 250,000 Class A Shares that we issued to Cantor in consideration for its irrevocable commitment to purchase Class A Shares at our election under the Purchase Agreement; and</w:t>
      </w:r>
    </w:p>
    <w:p>
      <w:pPr>
        <w:spacing w:after="0" w:line="144" w:lineRule="exact"/>
        <w:rPr>
          <w:sz w:val="20"/>
          <w:szCs w:val="20"/>
          <w:color w:val="auto"/>
        </w:rPr>
      </w:pPr>
    </w:p>
    <w:p>
      <w:pPr>
        <w:jc w:val="both"/>
        <w:ind w:right="719"/>
        <w:spacing w:after="0" w:line="271" w:lineRule="auto"/>
        <w:rPr>
          <w:sz w:val="20"/>
          <w:szCs w:val="20"/>
          <w:color w:val="auto"/>
        </w:rPr>
      </w:pPr>
      <w:r>
        <w:rPr>
          <w:rFonts w:ascii="Times New Roman" w:cs="Times New Roman" w:eastAsia="Times New Roman" w:hAnsi="Times New Roman"/>
          <w:sz w:val="17"/>
          <w:szCs w:val="17"/>
          <w:color w:val="auto"/>
        </w:rPr>
        <w:t>Up to 25,000,000 Class A Shares that we may elect, in our sole discretion, to issue and sell to Cantor, from time to time from and after the Commencement Date under the Purchase Agreement.</w:t>
      </w:r>
    </w:p>
    <w:p>
      <w:pPr>
        <w:spacing w:after="0" w:line="338" w:lineRule="exact"/>
        <w:rPr>
          <w:sz w:val="20"/>
          <w:szCs w:val="20"/>
          <w:color w:val="auto"/>
        </w:rPr>
      </w:pPr>
    </w:p>
    <w:p>
      <w:pPr>
        <w:jc w:val="both"/>
        <w:ind w:right="71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Financing</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3560" w:space="260"/>
            <w:col w:w="5199"/>
          </w:cols>
          <w:pgMar w:left="1440" w:top="264" w:right="1440" w:bottom="1440" w:gutter="0" w:footer="0" w:header="0"/>
          <w:type w:val="continuous"/>
        </w:sectPr>
      </w:pPr>
    </w:p>
    <w:p>
      <w:pPr>
        <w:spacing w:after="0" w:line="160"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Conflict of Interest</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Cantor is an affiliate of Cantor Fitzgerald &amp; Co. (“CF&amp;CO”) a</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member. CF&amp;CO is expected to act as an executing</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broker for the sale of the shares of our Class A Common Stock</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sold  by  Cantor  pursuant  to  the  Facility.  See  “</w:t>
            </w:r>
            <w:r>
              <w:rPr>
                <w:rFonts w:ascii="Times New Roman" w:cs="Times New Roman" w:eastAsia="Times New Roman" w:hAnsi="Times New Roman"/>
                <w:sz w:val="17"/>
                <w:szCs w:val="17"/>
                <w:i w:val="1"/>
                <w:iCs w:val="1"/>
                <w:color w:val="auto"/>
              </w:rPr>
              <w:t>Plan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The receipt by Cantor of all the proceeds from sales of shares of</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to the public made through CF&amp;CO</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results in a “conflict of interest” under Rule 5121 of the</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Financial  Industry  Regulatory  Authority,  Inc.  (“FINRA”).</w:t>
            </w:r>
          </w:p>
        </w:tc>
      </w:tr>
      <w:tr>
        <w:trPr>
          <w:trHeight w:val="206"/>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Accordingly, such sales will be conducted in compliance with</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FINRA Rule 5121. See “</w:t>
            </w:r>
            <w:r>
              <w:rPr>
                <w:rFonts w:ascii="Times New Roman" w:cs="Times New Roman" w:eastAsia="Times New Roman" w:hAnsi="Times New Roman"/>
                <w:sz w:val="17"/>
                <w:szCs w:val="17"/>
                <w:i w:val="1"/>
                <w:iCs w:val="1"/>
                <w:color w:val="auto"/>
              </w:rPr>
              <w:t>Plan of Distribution (Conflict of</w:t>
            </w:r>
          </w:p>
        </w:tc>
      </w:tr>
      <w:tr>
        <w:trPr>
          <w:trHeight w:val="228"/>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Risk Factors</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the other information included in this</w:t>
            </w:r>
          </w:p>
        </w:tc>
      </w:tr>
      <w:tr>
        <w:trPr>
          <w:trHeight w:val="208"/>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prospectus for a discussion of factors you should consider</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before investing in our securities.</w:t>
            </w:r>
          </w:p>
        </w:tc>
      </w:tr>
      <w:tr>
        <w:trPr>
          <w:trHeight w:val="371"/>
        </w:trPr>
        <w:tc>
          <w:tcPr>
            <w:tcW w:w="20" w:type="dxa"/>
            <w:vAlign w:val="bottom"/>
          </w:tcPr>
          <w:p>
            <w:pPr>
              <w:spacing w:after="0"/>
              <w:rPr>
                <w:sz w:val="24"/>
                <w:szCs w:val="24"/>
                <w:color w:val="auto"/>
              </w:rPr>
            </w:pPr>
          </w:p>
        </w:tc>
        <w:tc>
          <w:tcPr>
            <w:tcW w:w="2840" w:type="dxa"/>
            <w:vAlign w:val="bottom"/>
          </w:tcPr>
          <w:p>
            <w:pPr>
              <w:ind w:left="80"/>
              <w:spacing w:after="0"/>
              <w:rPr>
                <w:sz w:val="20"/>
                <w:szCs w:val="20"/>
                <w:color w:val="auto"/>
              </w:rPr>
            </w:pPr>
            <w:r>
              <w:rPr>
                <w:rFonts w:ascii="Times New Roman" w:cs="Times New Roman" w:eastAsia="Times New Roman" w:hAnsi="Times New Roman"/>
                <w:sz w:val="17"/>
                <w:szCs w:val="17"/>
                <w:i w:val="1"/>
                <w:iCs w:val="1"/>
                <w:color w:val="auto"/>
              </w:rPr>
              <w:t>Market for Class A Common Stock</w:t>
            </w: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Our Class A Common Stock is currently traded on the Nasdaq</w:t>
            </w:r>
          </w:p>
        </w:tc>
      </w:tr>
      <w:tr>
        <w:trPr>
          <w:trHeight w:val="226"/>
        </w:trPr>
        <w:tc>
          <w:tcPr>
            <w:tcW w:w="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9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Global Market under the symbol “SOUN.”</w:t>
            </w:r>
          </w:p>
        </w:tc>
      </w:tr>
      <w:tr>
        <w:trPr>
          <w:trHeight w:val="399"/>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373"/>
        </w:trPr>
        <w:tc>
          <w:tcPr>
            <w:tcW w:w="2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12</w:t>
            </w:r>
          </w:p>
        </w:tc>
        <w:tc>
          <w:tcPr>
            <w:tcW w:w="20" w:type="dxa"/>
            <w:vAlign w:val="bottom"/>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the Committed Equity Financing</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05"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3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Investors who buy shares of Class A Common Stock from the Holder at different times will likely pay different prices.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 w:name="page17"/>
    <w:bookmarkEnd w:id="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5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November 15, 2022, such Class A Shares would represent approximately 13.8% of the total number of our Class A Shares outstanding, after giving effect to such issuance.</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In addition to this prospectus covering the resale by Cantor of up to 25,250,000 shares of Class A Common Stock, we currently have an effective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3,457,996 Class A Shares upon the exercise of outstanding warrants to purchase our Class A Shares at an exercise price of $11.50, which were originally issued as part of the units in connection with ATSP’s IPO at a price of $10.00 per unit.</w:t>
      </w:r>
    </w:p>
    <w:p>
      <w:pPr>
        <w:spacing w:after="0" w:line="3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connection with the Business Combination, our chief executive officer and certain of our other stockholders agreed that, subject to certain exceptions, they will not, during the period beginning at the effective time of the Business Combination and the date that is 1 year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w:t>
      </w:r>
    </w:p>
    <w:p>
      <w:pPr>
        <w:spacing w:after="0" w:line="1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p>
    <w:p>
      <w:pPr>
        <w:spacing w:after="0" w:line="30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 w:name="page18"/>
    <w:bookmarkEnd w:id="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6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will have broad discretion over the use of proceeds from sales of shares of our Class A Common Stock made pursuant to the Purchase Agreement, as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6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 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 w:name="page19"/>
    <w:bookmarkEnd w:id="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387"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73"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8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 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 w:name="page20"/>
    <w:bookmarkEnd w:id="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0"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nine months ended September 30, 2022 and 2021, respectively, four and two customers accounted for 77% and 57% of revenue. For the three months ended September 30, 2022, the Company had one customer that accounted for 63% of revenue, and for the three months ended September 30, 2021, the Company had three customers that accounted for 50% of revenue. At September 30, 2022, accounts receivable balances due from two customers collectively totaled 65%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5" w:lineRule="exact"/>
        <w:rPr>
          <w:sz w:val="20"/>
          <w:szCs w:val="20"/>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goodwill or intangible assets;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Class A Common Stock could decline.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may not be able to obtain capital when desired on favorable terms, if at all, or without dilution to its stockholders.</w:t>
      </w:r>
    </w:p>
    <w:p>
      <w:pPr>
        <w:spacing w:after="0" w:line="6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10" w:lineRule="exact"/>
        <w:rPr>
          <w:sz w:val="20"/>
          <w:szCs w:val="20"/>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software engineers, sales and marketing professionals, and other personnel;</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379"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17" w:lineRule="exact"/>
        <w:rPr>
          <w:sz w:val="20"/>
          <w:szCs w:val="20"/>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2"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 w:name="page24"/>
    <w:bookmarkEnd w:id="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0"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9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105" w:lineRule="exact"/>
        <w:rPr>
          <w:sz w:val="20"/>
          <w:szCs w:val="20"/>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8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12" w:lineRule="exact"/>
        <w:rPr>
          <w:sz w:val="20"/>
          <w:szCs w:val="20"/>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5"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58"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1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84"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30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2021 and 2020 and for the nine months ended September 30, 2022 and 2021, SoundHound AI derived approximately 76%, 73%, 73% and 78%,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37" w:lineRule="exact"/>
        <w:rPr>
          <w:sz w:val="20"/>
          <w:szCs w:val="20"/>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8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2"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6" w:lineRule="exact"/>
        <w:rPr>
          <w:sz w:val="20"/>
          <w:szCs w:val="20"/>
          <w:color w:val="auto"/>
        </w:rPr>
      </w:pPr>
    </w:p>
    <w:p>
      <w:pPr>
        <w:jc w:val="both"/>
        <w:ind w:left="600" w:right="61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7" w:lineRule="exact"/>
        <w:rPr>
          <w:sz w:val="20"/>
          <w:szCs w:val="20"/>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7"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4" w:lineRule="exact"/>
        <w:rPr>
          <w:sz w:val="20"/>
          <w:szCs w:val="20"/>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1"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0"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1" w:lineRule="exact"/>
        <w:rPr>
          <w:sz w:val="20"/>
          <w:szCs w:val="20"/>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66" w:lineRule="auto"/>
        <w:tabs>
          <w:tab w:leader="none" w:pos="14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2"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73"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4" w:lineRule="exact"/>
        <w:rPr>
          <w:sz w:val="20"/>
          <w:szCs w:val="20"/>
          <w:color w:val="auto"/>
        </w:rPr>
      </w:pPr>
    </w:p>
    <w:p>
      <w:pPr>
        <w:jc w:val="both"/>
        <w:ind w:left="600" w:right="639" w:firstLine="416"/>
        <w:spacing w:after="0" w:line="274"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7"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2" w:name="page33"/>
    <w:bookmarkEnd w:id="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71" w:lineRule="exact"/>
        <w:rPr>
          <w:sz w:val="20"/>
          <w:szCs w:val="20"/>
          <w:color w:val="auto"/>
        </w:rPr>
      </w:pPr>
    </w:p>
    <w:p>
      <w:pPr>
        <w:jc w:val="both"/>
        <w:ind w:left="600" w:right="619"/>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8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7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7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w:t>
      </w:r>
    </w:p>
    <w:p>
      <w:pPr>
        <w:sectPr>
          <w:pgSz w:w="11900" w:h="16838" w:orient="portrait"/>
          <w:cols w:equalWidth="0" w:num="1">
            <w:col w:w="9019"/>
          </w:cols>
          <w:pgMar w:left="1440" w:top="26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3" w:name="page34"/>
    <w:bookmarkEnd w:id="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7"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may fluctuate significantly.</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market price of SoundHound AI’s Class A Common Stock may fluctuate widely, depending on many factors, some of which may be beyond our control, including:</w:t>
      </w:r>
    </w:p>
    <w:p>
      <w:pPr>
        <w:spacing w:after="0" w:line="81" w:lineRule="exact"/>
        <w:rPr>
          <w:sz w:val="20"/>
          <w:szCs w:val="20"/>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4" w:name="page35"/>
    <w:bookmarkEnd w:id="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6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Class A Common Stock or convertible securities may dilute your ownership and could adversely affect the stock price.</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Class A Common Stock or securities convertible into Class A Common Stock pursuant to a variety of transactions, including acquisitions. Additional shares of Class A Common Stock may also be issued upon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10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 w:name="page36"/>
    <w:bookmarkEnd w:id="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pacing w:after="0" w:line="168"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6"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00"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28"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6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381"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6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8" w:lineRule="exact"/>
        <w:rPr>
          <w:sz w:val="20"/>
          <w:szCs w:val="20"/>
          <w:color w:val="auto"/>
        </w:rPr>
      </w:pPr>
    </w:p>
    <w:p>
      <w:pPr>
        <w:jc w:val="both"/>
        <w:ind w:left="60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72%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73" w:lineRule="exact"/>
        <w:rPr>
          <w:sz w:val="20"/>
          <w:szCs w:val="20"/>
          <w:color w:val="auto"/>
        </w:rPr>
      </w:pPr>
    </w:p>
    <w:p>
      <w:pPr>
        <w:jc w:val="both"/>
        <w:ind w:left="600" w:right="619"/>
        <w:spacing w:after="0" w:line="288"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302" w:lineRule="exact"/>
        <w:rPr>
          <w:sz w:val="20"/>
          <w:szCs w:val="20"/>
          <w:color w:val="auto"/>
        </w:rPr>
      </w:pPr>
    </w:p>
    <w:p>
      <w:pPr>
        <w:jc w:val="both"/>
        <w:ind w:left="600" w:right="619" w:firstLine="416"/>
        <w:spacing w:after="0" w:line="256"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90" w:lineRule="exact"/>
        <w:rPr>
          <w:sz w:val="20"/>
          <w:szCs w:val="20"/>
          <w:color w:val="auto"/>
        </w:rPr>
      </w:pPr>
    </w:p>
    <w:p>
      <w:pPr>
        <w:jc w:val="both"/>
        <w:ind w:left="600" w:right="61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9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spacing w:after="0" w:line="9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6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05" w:lineRule="exact"/>
        <w:rPr>
          <w:sz w:val="20"/>
          <w:szCs w:val="20"/>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85"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is expressly authorized to make, alter, or repeal our Amended Bylaws;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8"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w:t>
      </w:r>
    </w:p>
    <w:p>
      <w:pPr>
        <w:spacing w:after="0" w:line="137" w:lineRule="exact"/>
        <w:rPr>
          <w:sz w:val="20"/>
          <w:szCs w:val="20"/>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 w:name="page40"/>
    <w:bookmarkEnd w:id="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11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73"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6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0" w:name="page41"/>
    <w:bookmarkEnd w:id="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jc w:val="both"/>
        <w:ind w:left="600" w:right="619"/>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7" w:lineRule="exact"/>
        <w:rPr>
          <w:sz w:val="20"/>
          <w:szCs w:val="20"/>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COMMITTED EQUITY FINANCING</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w:t>
      </w:r>
    </w:p>
    <w:p>
      <w:pPr>
        <w:spacing w:after="0" w:line="3" w:lineRule="exact"/>
        <w:rPr>
          <w:sz w:val="20"/>
          <w:szCs w:val="20"/>
          <w:color w:val="auto"/>
        </w:rPr>
      </w:pPr>
    </w:p>
    <w:p>
      <w:pPr>
        <w:ind w:left="600" w:right="619" w:firstLine="6"/>
        <w:spacing w:after="0" w:line="270" w:lineRule="auto"/>
        <w:tabs>
          <w:tab w:leader="none" w:pos="833"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Common Stock and (ii) the Exchange Cap (as defined below), subject to certain limitations and conditions set forth in the Purchase Agreement (the “Committed Equity Financing”).</w:t>
      </w:r>
    </w:p>
    <w:p>
      <w:pPr>
        <w:spacing w:after="0" w:line="10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10" w:lineRule="exact"/>
        <w:rPr>
          <w:sz w:val="20"/>
          <w:szCs w:val="20"/>
          <w:color w:val="auto"/>
        </w:rPr>
      </w:pPr>
    </w:p>
    <w:p>
      <w:pPr>
        <w:jc w:val="both"/>
        <w:ind w:left="600" w:right="619" w:firstLine="416"/>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Pursuant to a separate side letter agreement between the Company and the Holder,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Global Market on the trading day immediately prior to the True-Up Date), in the aggregate, are less than $1 Million, the Company will pay to the Holder the difference between $1 Million and the applicable net proceeds. Unless earlier terminated, the Purchase Agreement will remain in effect until the first day of the month next following the 36-month period commencing on the date of this prospectus.</w:t>
      </w:r>
    </w:p>
    <w:p>
      <w:pPr>
        <w:spacing w:after="0" w:line="10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39,365,804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0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32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also entered into a Registration Rights Agreement (the “Registration Rights Agreement”) with Cantor, pursuant to which we filed the registration statement of which this prospectus forms a part.</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VWAP Purchase of Shares Under the Purchase Agreement</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From and after the Commencement Date, subject to certain conditions,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31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Conditions Precedent to Commencement and Each VWAP Purchase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94" w:lineRule="exact"/>
        <w:rPr>
          <w:sz w:val="20"/>
          <w:szCs w:val="20"/>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having performed, satisfied and complied in all material respects with all covenants, agreements and conditions required by the Purchase Agreement to be performed, satisfied or complied with by the Company;</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Cantor nor any affiliate of Cantor, in the prior 30 calendar days, having published or distributed any research report concerning us;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59"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04"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Cantor of customary legal opinions and auditor comfort letters, and customary bring-down legal opinions and auditor comfort letters, as required under the Purchase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Termination of the Purchase Agreement</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Unless earlier terminated as provided in the Purchase Agreement, the Purchase Agreement will terminate automatically on the earliest to occur of:</w:t>
      </w:r>
    </w:p>
    <w:p>
      <w:pPr>
        <w:spacing w:after="0" w:line="68" w:lineRule="exact"/>
        <w:rPr>
          <w:sz w:val="20"/>
          <w:szCs w:val="20"/>
          <w:color w:val="auto"/>
        </w:rPr>
      </w:pPr>
    </w:p>
    <w:p>
      <w:pPr>
        <w:ind w:left="1440" w:hanging="418"/>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month next following the 36-month anniversary of the date of this prospectus;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Cantor shall have purchased 25,000,000 shares of our Class A Common Stock under the Purchase Agreement;</w:t>
      </w:r>
    </w:p>
    <w:p>
      <w:pPr>
        <w:spacing w:after="0" w:line="8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our Class A Common Stock shall have failed to be listed or quoted on Nasdaq or any alternative market; and</w:t>
      </w:r>
    </w:p>
    <w:p>
      <w:pPr>
        <w:spacing w:after="0" w:line="68"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Purchase Agreement, we may terminate the agreement after the Commencement Date effective upon three trading days’ prior written notice to Cantor in accordance with the Purchase Agreement.</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0" w:lineRule="auto"/>
        <w:rPr>
          <w:sz w:val="20"/>
          <w:szCs w:val="20"/>
          <w:color w:val="auto"/>
        </w:rPr>
      </w:pPr>
      <w:r>
        <w:rPr>
          <w:rFonts w:ascii="Times New Roman" w:cs="Times New Roman" w:eastAsia="Times New Roman" w:hAnsi="Times New Roman"/>
          <w:sz w:val="17"/>
          <w:szCs w:val="17"/>
          <w:color w:val="auto"/>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 Short-Selling or Hedging by Cantor</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Prohibition on Similar Transactions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Effect of Sales of Our Shares under the Purchase Agreement on Our Stockholders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the Committed Equity Financing — Investors who buy shares of our Class A Common Stock from Cantor at different times will likely pay different prices.</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November 15, 2022, 157,517,926 shares of our Class A Common Stock are issued and outstanding.</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If all of the 25,250,000 shares of our Class A Common Stock offered for resale by Cantor under this prospectus were issued and outstanding as of November 15, 2022, such shares would represent approximately 13.8% of the total number of our Class A Common Stock outstanding.</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information at varying purchase prices assuming we sell to Cantor under the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Purchase Agreement all 25,000,000 shares of Class A Common Stock at that price:</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Outstanding Class A</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Aggregate Purchase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Assumed Trading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Number of Shares</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Common Stock After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Price for Class A</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Price of Class A</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Sold Under the</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Giving Effect to</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7"/>
              </w:rPr>
              <w:t>Common Stock Sold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Facility</w:t>
            </w:r>
            <w:r>
              <w:rPr>
                <w:rFonts w:ascii="Times New Roman" w:cs="Times New Roman" w:eastAsia="Times New Roman" w:hAnsi="Times New Roman"/>
                <w:sz w:val="18"/>
                <w:szCs w:val="18"/>
                <w:b w:val="1"/>
                <w:bCs w:val="1"/>
                <w:color w:val="auto"/>
                <w:w w:val="94"/>
                <w:vertAlign w:val="superscript"/>
              </w:rPr>
              <w:t>(1)</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 Shares</w:t>
            </w:r>
            <w:r>
              <w:rPr>
                <w:rFonts w:ascii="Times New Roman" w:cs="Times New Roman" w:eastAsia="Times New Roman" w:hAnsi="Times New Roman"/>
                <w:sz w:val="18"/>
                <w:szCs w:val="18"/>
                <w:b w:val="1"/>
                <w:bCs w:val="1"/>
                <w:color w:val="auto"/>
                <w:vertAlign w:val="superscript"/>
              </w:rPr>
              <w:t>(2)</w:t>
            </w:r>
          </w:p>
        </w:tc>
        <w:tc>
          <w:tcPr>
            <w:tcW w:w="1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Issuances to Cantor</w:t>
            </w:r>
            <w:r>
              <w:rPr>
                <w:rFonts w:ascii="Times New Roman" w:cs="Times New Roman" w:eastAsia="Times New Roman" w:hAnsi="Times New Roman"/>
                <w:sz w:val="18"/>
                <w:szCs w:val="18"/>
                <w:b w:val="1"/>
                <w:bCs w:val="1"/>
                <w:color w:val="auto"/>
                <w:w w:val="95"/>
                <w:vertAlign w:val="superscript"/>
              </w:rPr>
              <w:t>(3)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5"/>
              </w:rPr>
              <w:t>Under the Facility</w:t>
            </w:r>
            <w:r>
              <w:rPr>
                <w:rFonts w:ascii="Times New Roman" w:cs="Times New Roman" w:eastAsia="Times New Roman" w:hAnsi="Times New Roman"/>
                <w:sz w:val="18"/>
                <w:szCs w:val="18"/>
                <w:b w:val="1"/>
                <w:bCs w:val="1"/>
                <w:color w:val="auto"/>
                <w:w w:val="95"/>
                <w:vertAlign w:val="superscript"/>
              </w:rPr>
              <w:t>(4)</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r>
              <w:rPr>
                <w:rFonts w:ascii="Times New Roman" w:cs="Times New Roman" w:eastAsia="Times New Roman" w:hAnsi="Times New Roman"/>
                <w:sz w:val="20"/>
                <w:szCs w:val="20"/>
                <w:color w:val="auto"/>
                <w:vertAlign w:val="superscript"/>
              </w:rPr>
              <w:t>(5)</w:t>
            </w:r>
          </w:p>
        </w:tc>
        <w:tc>
          <w:tcPr>
            <w:tcW w:w="10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24,250,000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r>
              <w:rPr>
                <w:rFonts w:ascii="Times New Roman" w:cs="Times New Roman" w:eastAsia="Times New Roman" w:hAnsi="Times New Roman"/>
                <w:sz w:val="20"/>
                <w:szCs w:val="20"/>
                <w:color w:val="auto"/>
                <w:vertAlign w:val="superscript"/>
              </w:rPr>
              <w:t>(6)</w:t>
            </w:r>
          </w:p>
        </w:tc>
        <w:tc>
          <w:tcPr>
            <w:tcW w:w="10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44,135,000</w:t>
            </w: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121,250,000</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169,750,000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242,500,000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jc w:val="both"/>
        <w:ind w:left="1020" w:right="619" w:hanging="414"/>
        <w:spacing w:after="0" w:line="25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spacing w:after="0" w:line="1" w:lineRule="exact"/>
        <w:rPr>
          <w:rFonts w:ascii="Times New Roman" w:cs="Times New Roman" w:eastAsia="Times New Roman" w:hAnsi="Times New Roman"/>
          <w:sz w:val="16"/>
          <w:szCs w:val="16"/>
          <w:color w:val="auto"/>
        </w:rPr>
      </w:pP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used to calculate the percentages in this column is based on 157,517,926 shares of our Class A Common Stock outstanding as of November 15, 2022, adjusted to include the shares issued and sold to the Holder under the Facility.</w:t>
      </w:r>
    </w:p>
    <w:p>
      <w:pPr>
        <w:jc w:val="both"/>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ind w:left="1020" w:right="619" w:hanging="414"/>
        <w:spacing w:after="0" w:line="254"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price at which shares of our Class A Common Stock may be sold to the Holder under the Purchase Agreement.</w:t>
      </w:r>
    </w:p>
    <w:p>
      <w:pPr>
        <w:ind w:left="1020" w:hanging="414"/>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our Class A Common Stock on Nasdaq on November 15,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elsewhere in this prospectus for more information.</w:t>
      </w:r>
    </w:p>
    <w:p>
      <w:pPr>
        <w:spacing w:after="0" w:line="11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intend to use any proceeds from the Facility for working capital and general corporate purposes. We will have broad discretion in the way we use these proceeds. See “</w:t>
      </w:r>
      <w:r>
        <w:rPr>
          <w:rFonts w:ascii="Times New Roman" w:cs="Times New Roman" w:eastAsia="Times New Roman" w:hAnsi="Times New Roman"/>
          <w:sz w:val="17"/>
          <w:szCs w:val="17"/>
          <w:i w:val="1"/>
          <w:iCs w:val="1"/>
          <w:color w:val="auto"/>
        </w:rPr>
        <w:t>Risk Factors — Risks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Times New Roman" w:cs="Times New Roman" w:eastAsia="Times New Roman" w:hAnsi="Times New Roman"/>
          <w:sz w:val="17"/>
          <w:szCs w:val="17"/>
          <w:color w:val="auto"/>
        </w:rPr>
        <w:t>.”</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the shares of Class A Common Stock may be sold by the Holder under this prospectus.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MARKET INFORMATION FOR CLASS A COMMON STOCK AND WARRANTS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DIVIDEND POLICY</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November 15, 2022, there were 149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RESULTS OF OPERATIONS OF ATSP</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nine months ended September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three months ended March 31, 2022 and 2021 and the year ended December 31, 2021 and 2020.</w:t>
      </w:r>
    </w:p>
    <w:p>
      <w:pPr>
        <w:spacing w:after="0" w:line="9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3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7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8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ectPr>
          <w:pgSz w:w="11900" w:h="16838" w:orient="portrait"/>
          <w:cols w:equalWidth="0" w:num="1">
            <w:col w:w="9019"/>
          </w:cols>
          <w:pgMar w:left="1440" w:top="26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0" w:name="page51"/>
    <w:bookmarkEnd w:id="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Years Ended December 31, 2021 and December 31, 2020</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3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1" w:name="page52"/>
    <w:bookmarkEnd w:id="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FINANCIAL CONDITION AND RESULTS OF OPERATIONS OF SOUNDHOUND AI</w:t>
      </w:r>
    </w:p>
    <w:p>
      <w:pPr>
        <w:spacing w:after="0" w:line="12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nine month periods ended September 30, 2022 reflect the financial statements of SoundHound AI giving effect to the Business Combination.</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31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9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10"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three quarters of 2022, compared to the same period in 2021.</w:t>
      </w:r>
    </w:p>
    <w:p>
      <w:pPr>
        <w:spacing w:after="0" w:line="31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6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ectPr>
          <w:pgSz w:w="11900" w:h="16838" w:orient="portrait"/>
          <w:cols w:equalWidth="0" w:num="1">
            <w:col w:w="9019"/>
          </w:cols>
          <w:pgMar w:left="1440" w:top="26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2" w:name="page53"/>
    <w:bookmarkEnd w:id="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31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believe that we offer a superior ecosystem, benefiting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3" w:name="page54"/>
    <w:bookmarkEnd w:id="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92"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3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On November 15, 2021, Archimedes Tech SPAC Partners Co. (“ATSP”), Legacy SoundHound and ATSPC Merger Sub, Inc. entered into a merger agreement (“Merger Agreement”) pursuant to which ATSPC Merger Sub, Inc. merged with and into Legacy SoundHound, with Legacy SoundHound continuing as the surviving corporation, resulting in the reverse recapitalization of SoundHound (the “Business Combination”). The Business Combination was completed on April 26, 2022 (the “Closing”). In connection with the Closing of the Business Combination, the Company issued $113.0 million of securities in the PIPE investment. Upon the Closing of the Business Combination, ATSP changed its name to SoundHound AI, Inc.</w:t>
      </w:r>
    </w:p>
    <w:p>
      <w:pPr>
        <w:spacing w:after="0" w:line="9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with 532,050 shares of SoundHound Class A common stock remaining outstanding, and $113.0 million in aggregate gross proceeds from PIPE investors in exchange for 11,300,000 shares of SoundHound AI Class A Common Stock that closed substantially contemporaneously with the Closing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4" w:name="page55"/>
    <w:bookmarkEnd w:id="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has not entered into any agreements to acquire companies in the 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Committed Equity Financing</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7"/>
          <w:szCs w:val="17"/>
          <w:i w:val="1"/>
          <w:iCs w:val="1"/>
          <w:color w:val="auto"/>
        </w:rPr>
        <w:t>The Committed Equity Financing</w:t>
      </w:r>
      <w:r>
        <w:rPr>
          <w:rFonts w:ascii="Times New Roman" w:cs="Times New Roman" w:eastAsia="Times New Roman" w:hAnsi="Times New Roman"/>
          <w:sz w:val="17"/>
          <w:szCs w:val="17"/>
          <w:color w:val="auto"/>
        </w:rPr>
        <w:t xml:space="preserve"> elsewhere in this prospectus.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nine months ended September 30, 2021, the COVID-19 pandemic had an impact on our billings and revenue recognized from per unit royalties for Houndify Solutions and, although the impact during the three and nine months ended September 30, 2022 was not considered material, the extent of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5" w:name="page56"/>
    <w:bookmarkEnd w:id="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believes that its performance and future success depend on many factors that present significant opportunities for us but also pose risks and challenges, including the following:</w:t>
      </w:r>
    </w:p>
    <w:p>
      <w:pPr>
        <w:spacing w:after="0" w:line="77" w:lineRule="exact"/>
        <w:rPr>
          <w:sz w:val="20"/>
          <w:szCs w:val="20"/>
          <w:color w:val="auto"/>
        </w:rPr>
      </w:pPr>
    </w:p>
    <w:p>
      <w:pPr>
        <w:jc w:val="both"/>
        <w:ind w:left="1440" w:right="619" w:hanging="418"/>
        <w:spacing w:after="0" w:line="263"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57"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September 30, 2022 was at least 80%.</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4" w:lineRule="exact"/>
        <w:rPr>
          <w:rFonts w:ascii="Times New Roman" w:cs="Times New Roman" w:eastAsia="Times New Roman" w:hAnsi="Times New Roman"/>
          <w:sz w:val="17"/>
          <w:szCs w:val="17"/>
          <w:color w:val="auto"/>
        </w:rPr>
      </w:pPr>
    </w:p>
    <w:p>
      <w:pPr>
        <w:jc w:val="both"/>
        <w:ind w:left="1440" w:right="619" w:hanging="418"/>
        <w:spacing w:after="0" w:line="265"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03" w:lineRule="exact"/>
        <w:rPr>
          <w:rFonts w:ascii="Times New Roman" w:cs="Times New Roman" w:eastAsia="Times New Roman" w:hAnsi="Times New Roman"/>
          <w:sz w:val="17"/>
          <w:szCs w:val="17"/>
          <w:color w:val="auto"/>
        </w:rPr>
      </w:pPr>
    </w:p>
    <w:p>
      <w:pPr>
        <w:jc w:val="both"/>
        <w:ind w:left="1440" w:right="619" w:hanging="418"/>
        <w:spacing w:after="0" w:line="269" w:lineRule="auto"/>
        <w:tabs>
          <w:tab w:leader="none" w:pos="143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25 languages, with a roadmap of 39 languages and 114 acoustic variations. We view opportunities for conversational Voice AI to be global in reach, and we expect our growth to be fueled across multiple geographies.</w:t>
      </w:r>
    </w:p>
    <w:p>
      <w:pPr>
        <w:spacing w:after="0" w:line="85"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35"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In addition to the COVID-19 pandemic as addressed herein, the military conflict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 suppliers and manufacturers, will be impacted in the short and long term, or the ways in which the conflict may impact our business. The extent and duration of the military action, sanctions and resulting market disruptions are</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6" w:name="page57"/>
    <w:bookmarkEnd w:id="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spacing w:after="0" w:line="262" w:lineRule="auto"/>
        <w:rPr>
          <w:sz w:val="20"/>
          <w:szCs w:val="20"/>
          <w:color w:val="auto"/>
        </w:rPr>
      </w:pPr>
      <w:r>
        <w:rPr>
          <w:rFonts w:ascii="Times New Roman" w:cs="Times New Roman" w:eastAsia="Times New Roman" w:hAnsi="Times New Roman"/>
          <w:sz w:val="17"/>
          <w:szCs w:val="17"/>
          <w:color w:val="auto"/>
        </w:rPr>
        <w:t>impossible to predict but could be substantial. 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nine months ended September 30, 2022 and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3" w:lineRule="exact"/>
        <w:rPr>
          <w:sz w:val="20"/>
          <w:szCs w:val="20"/>
          <w:color w:val="auto"/>
        </w:rPr>
      </w:pPr>
    </w:p>
    <w:p>
      <w:pPr>
        <w:jc w:val="both"/>
        <w:ind w:left="600" w:right="619" w:firstLine="6"/>
        <w:spacing w:after="0" w:line="259" w:lineRule="auto"/>
        <w:tabs>
          <w:tab w:leader="none" w:pos="86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9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“Houndified Products,” meaning products of our customers that employ SoundHound AI technology, and “Houndified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$23.4 million as of September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 See Note 4 to our unaudited condensed consolidated financial statements for the three and nine month periods ended September 30, 2022 included elsewhere in this prospectus for more information.</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59"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8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8" w:name="page59"/>
    <w:bookmarkEnd w:id="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nine months ended September 30, 2022 or during the year ended December 31, 2021. The loss on extinguishment of convertible note during Fiscal 2020 was attributable to the convertible note issued in May 2020 that was converted into shares of our Series D-3 and D-3A preferred stock in August 2020 at a loss.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5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103"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5,497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5,008</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138%</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16,996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(9,838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(2,683)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(2,738)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(5,467)</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9" w:name="page60"/>
    <w:bookmarkEnd w:id="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3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r>
      <w:tr>
        <w:trPr>
          <w:trHeight w:val="247"/>
        </w:trPr>
        <w:tc>
          <w:tcPr>
            <w:tcW w:w="20" w:type="dxa"/>
            <w:vAlign w:val="bottom"/>
          </w:tcPr>
          <w:p>
            <w:pPr>
              <w:spacing w:after="0"/>
              <w:rPr>
                <w:sz w:val="21"/>
                <w:szCs w:val="21"/>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3"/>
        </w:trPr>
        <w:tc>
          <w:tcPr>
            <w:tcW w:w="2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35,949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(30,367</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6"/>
        </w:trPr>
        <w:tc>
          <w:tcPr>
            <w:tcW w:w="34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(5,715)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27"/>
        </w:trPr>
        <w:tc>
          <w:tcPr>
            <w:tcW w:w="20" w:type="dxa"/>
            <w:vAlign w:val="bottom"/>
          </w:tcPr>
          <w:p>
            <w:pPr>
              <w:spacing w:after="0"/>
              <w:rPr>
                <w:sz w:val="19"/>
                <w:szCs w:val="19"/>
                <w:color w:val="auto"/>
              </w:rPr>
            </w:pPr>
          </w:p>
        </w:tc>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(56,293)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(26,795)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47"/>
        </w:trPr>
        <w:tc>
          <w:tcPr>
            <w:tcW w:w="3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6"/>
        </w:trPr>
        <w:tc>
          <w:tcPr>
            <w:tcW w:w="20" w:type="dxa"/>
            <w:vAlign w:val="bottom"/>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nine months ended September 30, 2022 and 2021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6,885</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7"/>
              </w:rPr>
              <w:t>Nine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5,701</w:t>
            </w:r>
          </w:p>
        </w:tc>
        <w:tc>
          <w:tcPr>
            <w:tcW w:w="140" w:type="dxa"/>
            <w:vAlign w:val="bottom"/>
            <w:tcBorders>
              <w:top w:val="single" w:sz="8" w:color="auto"/>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(385)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1180" w:type="dxa"/>
            <w:vAlign w:val="bottom"/>
            <w:gridSpan w:val="2"/>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4"/>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320" w:type="dxa"/>
            <w:vAlign w:val="bottom"/>
            <w:gridSpan w:val="3"/>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gridSpan w:val="6"/>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6"/>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237"/>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gridSpan w:val="3"/>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6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39"/>
        </w:trPr>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5,431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w:t>
            </w:r>
          </w:p>
        </w:tc>
        <w:tc>
          <w:tcPr>
            <w:tcW w:w="0" w:type="dxa"/>
            <w:vAlign w:val="bottom"/>
          </w:tcPr>
          <w:p>
            <w:pPr>
              <w:spacing w:after="0"/>
              <w:rPr>
                <w:sz w:val="1"/>
                <w:szCs w:val="1"/>
                <w:color w:val="auto"/>
              </w:rPr>
            </w:pPr>
          </w:p>
        </w:tc>
      </w:tr>
      <w:tr>
        <w:trPr>
          <w:trHeight w:val="247"/>
        </w:trPr>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260" w:type="dxa"/>
            <w:vAlign w:val="bottom"/>
            <w:tcBorders>
              <w:left w:val="single" w:sz="8" w:color="CCEEFF"/>
            </w:tcBorders>
            <w:gridSpan w:val="4"/>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320" w:type="dxa"/>
            <w:vAlign w:val="bottom"/>
            <w:tcBorders>
              <w:left w:val="single" w:sz="8" w:color="CCEEFF"/>
            </w:tcBorders>
            <w:gridSpan w:val="3"/>
            <w:shd w:val="clear" w:color="auto" w:fill="CCEEFF"/>
          </w:tcPr>
          <w:p>
            <w:pPr>
              <w:jc w:val="right"/>
              <w:ind w:right="86"/>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7,158</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0" w:name="page61"/>
    <w:bookmarkEnd w:id="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4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2,315</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w:t>
            </w:r>
          </w:p>
        </w:tc>
      </w:tr>
      <w:tr>
        <w:trPr>
          <w:trHeight w:val="39"/>
        </w:trPr>
        <w:tc>
          <w:tcPr>
            <w:tcW w:w="2360" w:type="dxa"/>
            <w:vAlign w:val="bottom"/>
            <w:gridSpan w:val="2"/>
          </w:tcPr>
          <w:p>
            <w:pPr>
              <w:spacing w:after="0"/>
              <w:rPr>
                <w:sz w:val="3"/>
                <w:szCs w:val="3"/>
                <w:color w:val="auto"/>
              </w:rPr>
            </w:pPr>
          </w:p>
        </w:tc>
        <w:tc>
          <w:tcPr>
            <w:tcW w:w="1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r>
      <w:tr>
        <w:trPr>
          <w:trHeight w:val="247"/>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6"/>
        </w:trPr>
        <w:tc>
          <w:tcPr>
            <w:tcW w:w="20" w:type="dxa"/>
            <w:vAlign w:val="bottom"/>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Total revenues increased by $7.2 million, or 178%, in the three months ended September 30, 2022 compared to the same period in 2021. The increase is primarily attributable to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increase in revenue is also due to a $1.7 million increase in hosted services during the three months ended September 30, 2022.</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Total revenues increased by $5.6 million, or 35%, in the nine months ended September 30, 2022, compared to the same period in 2021. The increase is primarily attributable to the $5.3 million of Houndify Edge licensing revenue and a $3.0 million increase in hosted services partially offset by a $2.7 million decrease in professional services during the nine months ended September 30, 2022. The decrease in professional services is primarily due to the recognition of $4.3 million in nonrecurring royalties revenue as a result of a contract modification to end a distinct professional service contract prior to completion with a customer in Germany during the nine months ended September 30, 2021.</w:t>
      </w:r>
    </w:p>
    <w:p>
      <w:pPr>
        <w:spacing w:after="0" w:line="110"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to the revenue growth experienced in Korea due to the $5.3 million Houndify Edge licensing agreement, we benefited from growth across the United States, France and other smaller foreign regions from scaling our Houndify Products with large automotive and device makers. We experienced additional revenue growth from Houndified Products in geographic regions of France and the United States of $0.1 million and $1.4 million, and $2.0 million and $2.3 million, respectively, during the three and nine months ended September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attributable to an increase in royalties from one customer due to higher usage and hosting. Additionally, we experienced a $4.1 million decrease in revenue from Germany during the nine months ended September 30, 2022 compared to the same period in 2021. This was primarily due to a one-time contract modification to end a distinct professional service contract prior to completion during the nine months ended September 30, 2021. This customer was retained through ongoing hosting services.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Cost of revenues increased by $0.9 million, or 56%, and $2.0 million, or 40%, in the three and nine months ended September 30, 2022, respectively, compared to the same periods in 2021. The increases are primarily related to incurring additional data center and hosting costs due to system migrations in order to support our revenue growth. Gross margin increased to 77% during the three months ended September 30, 2022 compared to 59% during the same period in 2021 primarily due to increased margins on the Houndify Edge licensing agreement described above. Gross margin decreased to 68% during the nine months ended September 30, 2022 compared to 70% during the same period in 2021 primarily due to the one-time contract modification to end the distinct professional service contract prior to completion with a customer in Germany during the second quarter of 2021 offset by the increased margins on the Houndify Edge agreement described above. While our gross margin may continue to fluctuate in the near-term due to revenue contributions from varying product mixes, we expect it will stabilize as we continue to expand our revenue from subscriptions and monetization.</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1" w:name="page62"/>
    <w:bookmarkEnd w:id="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$5.0 million, or 35%, and $12.1 million, or 28%, in the three and nine months ended September 30, 2022, respectively, compared to the same periods in 2021. This increase in research and development expenses was primarily related to our investment in technology and engineering and increasing our full-time engineer headcount by to ensure we remain at the forefront of innovation, while also helping to develop and scale new products and services. Research and development headcount increased by 13% and was accompanied by higher salaries and compensation packages for executive hires as well as an additional $3.7 million and $6.1 million of stock-based compensation expense in the three and nine months ended September 30, 2022, respectively, compared to the same periods in 2021.</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5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increased by $5.5 million, or 468%, and $10.4 million, or 318%, in the three and nine months ended September 30, 2022, respectively, compared to the same periods in 2021. This increase is due to a 184% increase in sales and marketing headcount and increased program spend to support a greater investment in go-to-market strategies and customer engagement and drive growth in our revenue from subscriptions and monetization.</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$5.6 million, or 138%, and $11.6 million, or 102%, in the three and nine months ended September 30, 2022, respectively, compared to the same periods in 2021. This increase represents investments in our human resources, finance and legal functions, including increased personnel-related expenses as we prepared and began to function as a public entity. General and administrative headcount increased by 83% and was accompanied by higher salaries and compensation packages for executive hires as well as an additional $3.1 million and $7.7 million of stock -based compensation expense in the three and nine months ended September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during the nine months ended September 30, 2022.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Interest expense decreased by $1.5 million, or 57%, in the three months ended September 30, 2022 compared to the same period in 2021. The decrease in interest expense was primarily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second quarter of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1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Interest expense decreased by a nominal amount in the nine months ended September 30, 2022 compared to the same period in 2021. The decrease in interest expense was primarily attributable to the conversion of the SNAP June 2020 Note, as described above, and largely offset by the issuance of the SVB March 2021 Note and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nine months ended September 30, 2022.</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2" w:name="page63"/>
    <w:bookmarkEnd w:id="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9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6"/>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6"/>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6"/>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40" w:type="dxa"/>
            <w:vAlign w:val="bottom"/>
            <w:gridSpan w:val="2"/>
          </w:tcPr>
          <w:p>
            <w:pPr>
              <w:spacing w:after="0"/>
              <w:rPr>
                <w:sz w:val="3"/>
                <w:szCs w:val="3"/>
                <w:color w:val="auto"/>
              </w:rPr>
            </w:pPr>
          </w:p>
        </w:tc>
        <w:tc>
          <w:tcPr>
            <w:tcW w:w="46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(3,792)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39"/>
        </w:trPr>
        <w:tc>
          <w:tcPr>
            <w:tcW w:w="35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vMerge w:val="continue"/>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vMerge w:val="continue"/>
          </w:tcPr>
          <w:p>
            <w:pPr>
              <w:spacing w:after="0"/>
              <w:rPr>
                <w:sz w:val="20"/>
                <w:szCs w:val="20"/>
                <w:color w:val="auto"/>
              </w:rPr>
            </w:pPr>
          </w:p>
        </w:tc>
        <w:tc>
          <w:tcPr>
            <w:tcW w:w="32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losses attributable to the change in fair value of derivative and warrant liability decreased by $2.5 million, or 100%, and $3.2 million, or 84%, in the three and nine months ended September 30, 2022, respectively, compared to the same periods in 2021. The changes were primarily attributable to $1.8 million and $2.7 million in losses, from the change in fair value of the warrant liability during the three and nine months ended September 30, 2021, respectively, as compared to no change in the fair value of the warrant liability during the three and nine months ended September 30, 2022, due to the exercise of Series C Warrants in December 2021, which extinguished the Company’s corresponding warrant liability.</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balance during the nine months ended September 30, 2022 solely reflects the change in fair value of the embedded derivative from the SNAP June 2020 Note. The fair value of the derivative liability decreased by $0.6 million during the nine months ended September 30, 2022, compared to decreases of $0.7 million and $1.1 million during the three and nine months ended September 30, 2021, respectively. The changes in fair value of the derivative liability represent corresponding gains or losses on the Condensed Consolidated Statement of Operations and Comprehensive Loss due to changes in probability assumptions of a change in control or SPAC transaction.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 thousands except for %)</w:t>
      </w:r>
    </w:p>
    <w:p>
      <w:pPr>
        <w:spacing w:after="0" w:line="19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Nine Months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jc w:val="center"/>
              <w:ind w:left="2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80" w:type="dxa"/>
            <w:vAlign w:val="bottom"/>
          </w:tcPr>
          <w:p>
            <w:pPr>
              <w:spacing w:after="0"/>
              <w:rPr>
                <w:sz w:val="17"/>
                <w:szCs w:val="17"/>
                <w:color w:val="auto"/>
              </w:rPr>
            </w:pPr>
          </w:p>
        </w:tc>
        <w:tc>
          <w:tcPr>
            <w:tcW w:w="1320" w:type="dxa"/>
            <w:vAlign w:val="bottom"/>
            <w:gridSpan w:val="3"/>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0" w:type="dxa"/>
            <w:vAlign w:val="bottom"/>
          </w:tcPr>
          <w:p>
            <w:pPr>
              <w:spacing w:after="0"/>
              <w:rPr>
                <w:sz w:val="17"/>
                <w:szCs w:val="17"/>
                <w:color w:val="auto"/>
              </w:rPr>
            </w:pP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w w:val="95"/>
              </w:rPr>
              <w:t>Change</w:t>
            </w:r>
          </w:p>
        </w:tc>
        <w:tc>
          <w:tcPr>
            <w:tcW w:w="46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680" w:type="dxa"/>
            <w:vAlign w:val="bottom"/>
            <w:gridSpan w:val="2"/>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640" w:type="dxa"/>
            <w:vAlign w:val="bottom"/>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45"/>
        </w:trPr>
        <w:tc>
          <w:tcPr>
            <w:tcW w:w="20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19"/>
        </w:trPr>
        <w:tc>
          <w:tcPr>
            <w:tcW w:w="20" w:type="dxa"/>
            <w:vAlign w:val="bottom"/>
          </w:tcPr>
          <w:p>
            <w:pPr>
              <w:spacing w:after="0"/>
              <w:rPr>
                <w:sz w:val="19"/>
                <w:szCs w:val="19"/>
                <w:color w:val="auto"/>
              </w:rPr>
            </w:pPr>
          </w:p>
        </w:tc>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(326)</w:t>
            </w: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1,605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34"/>
        </w:trPr>
        <w:tc>
          <w:tcPr>
            <w:tcW w:w="20" w:type="dxa"/>
            <w:vAlign w:val="bottom"/>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3" w:name="page64"/>
    <w:bookmarkEnd w:id="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32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(13,757)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4"/>
        </w:trPr>
        <w:tc>
          <w:tcPr>
            <w:tcW w:w="3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34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Korea</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64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18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7"/>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ectPr>
          <w:pgSz w:w="11900" w:h="16838" w:orient="portrait"/>
          <w:cols w:equalWidth="0" w:num="1">
            <w:col w:w="9019"/>
          </w:cols>
          <w:pgMar w:left="1440" w:top="264"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4" w:name="page65"/>
    <w:bookmarkEnd w:id="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Houndified Services and increased usage by end users during Fiscal 2021.</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music application.</w:t>
      </w:r>
    </w:p>
    <w:p>
      <w:pPr>
        <w:spacing w:after="0" w:line="6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 w:name="page66"/>
    <w:bookmarkEnd w:id="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5"/>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90"/>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(3,114)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7"/>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had $33.4 million in cash and cash equivalents as of September 30, 2022. Although the Company has incurred recurring losses each year since its inception, the Company expects it will be able to fund its operations for at least the next twelve months. The Company may seek additional funding through debt or equity financing arrangements (including pursuant to the offering contemplated herein), implement incremental expense reduction measures or a combination thereof to continue financing its operations. Although management continues to pursue these plans, there is no assurance that the Company will be successful in obtaining sufficient funding on terms</w:t>
      </w:r>
    </w:p>
    <w:p>
      <w:pPr>
        <w:sectPr>
          <w:pgSz w:w="11900" w:h="16838" w:orient="portrait"/>
          <w:cols w:equalWidth="0" w:num="1">
            <w:col w:w="9019"/>
          </w:cols>
          <w:pgMar w:left="1440" w:top="264" w:right="1440" w:bottom="1440" w:gutter="0" w:footer="0" w:header="0"/>
        </w:sect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6" w:name="page67"/>
    <w:bookmarkEnd w:id="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nine month periods ended September 30, 2022 and Note 6 and Note 13 to our audited consolidated financial statements included in this prospectus for more information.</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September 30, 2022:</w:t>
      </w:r>
    </w:p>
    <w:p>
      <w:pPr>
        <w:spacing w:after="0" w:line="140" w:lineRule="exact"/>
        <w:rPr>
          <w:sz w:val="20"/>
          <w:szCs w:val="20"/>
          <w:color w:val="auto"/>
        </w:rPr>
      </w:pPr>
    </w:p>
    <w:p>
      <w:pPr>
        <w:jc w:val="both"/>
        <w:ind w:left="1440" w:right="619" w:hanging="418"/>
        <w:spacing w:after="0" w:line="263" w:lineRule="auto"/>
        <w:tabs>
          <w:tab w:leader="none" w:pos="14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105"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3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summarizes our cash flows for the nine months ended September 30, 2022 and 2021 (in thousands):</w:t>
      </w:r>
    </w:p>
    <w:p>
      <w:pPr>
        <w:spacing w:after="0" w:line="1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4077335</wp:posOffset>
            </wp:positionH>
            <wp:positionV relativeFrom="paragraph">
              <wp:posOffset>35560</wp:posOffset>
            </wp:positionV>
            <wp:extent cx="1262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(51,097)</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(1,188)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39"/>
        </w:trPr>
        <w:tc>
          <w:tcPr>
            <w:tcW w:w="434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(16,433</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Net cash used in operating activities was $73.6 million during the nine months ended September 30, 2022 compared to $51.1 million during the nine months ended September 30, 2021. The $22.5 million increase in cash used in operating activities was primarily due to our increased net loss, adjusted for non-cash expenses, including stock-based compensation and depreciation and amortization, as well as an increase in our contract assets balance of $6.0 million.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7" w:name="page68"/>
    <w:bookmarkEnd w:id="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Net cash used in investing activities was $1.2 million during the nine months ended September 30, 2022 compared to $0.2 million during the nine months ended September 30, 2021. The $1.0 million increase in cash used in investing activities was driven by purchases of property and equipment.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Net cash provided by financing activities was $85.6 million during the nine months ended September 30, 2022 compared to $34.9 million during the nine months ended September 30, 2021. The $50.7 million increase in cash provided by financing activities was primarily due to the $90.7 million in net proceeds from the Business Combination and a $1.7 million increase in proceeds from common stock options exercised during the nine months ended September 30, 2022. This was partially offset by net proceeds of $34.9 million from the issuance of the SVB March 2021 Note and the SCI June 2021 Note during the nine months ended September 30, 2021 and payments on our notes payable of $7.5 million during the nine months ended September 30, 2022.</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September 30, 2022 as disclosed in the contractual obligations and commitment section in our unaudited condensed consolidated financial statements as of September 30, 2022 included elsewhere in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99" w:lineRule="exact"/>
        <w:rPr>
          <w:sz w:val="20"/>
          <w:szCs w:val="20"/>
          <w:color w:val="auto"/>
        </w:rPr>
      </w:pPr>
    </w:p>
    <w:p>
      <w:pPr>
        <w:jc w:val="both"/>
        <w:ind w:left="600" w:right="619" w:firstLine="416"/>
        <w:spacing w:after="0" w:line="285"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8" w:name="page69"/>
    <w:bookmarkEnd w:id="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00" w:right="619" w:firstLine="6"/>
        <w:spacing w:after="0" w:line="270" w:lineRule="auto"/>
        <w:tabs>
          <w:tab w:leader="none" w:pos="84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10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97" w:lineRule="exact"/>
        <w:rPr>
          <w:sz w:val="20"/>
          <w:szCs w:val="20"/>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59"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4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3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0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8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7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97" w:lineRule="exact"/>
        <w:rPr>
          <w:sz w:val="20"/>
          <w:szCs w:val="20"/>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3" w:lineRule="exact"/>
        <w:rPr>
          <w:sz w:val="20"/>
          <w:szCs w:val="20"/>
          <w:color w:val="auto"/>
        </w:rPr>
      </w:pPr>
    </w:p>
    <w:p>
      <w:pPr>
        <w:jc w:val="both"/>
        <w:ind w:left="600" w:right="619" w:firstLine="6"/>
        <w:spacing w:after="0" w:line="262" w:lineRule="auto"/>
        <w:tabs>
          <w:tab w:leader="none" w:pos="82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nine months ended September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4"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6" w:lineRule="exact"/>
        <w:rPr>
          <w:sz w:val="20"/>
          <w:szCs w:val="20"/>
          <w:color w:val="auto"/>
        </w:rPr>
      </w:pPr>
    </w:p>
    <w:p>
      <w:pPr>
        <w:jc w:val="both"/>
        <w:ind w:left="60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73025</wp:posOffset>
            </wp:positionV>
            <wp:extent cx="4942840" cy="36226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42840" cy="3622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2" w:lineRule="exact"/>
        <w:rPr>
          <w:sz w:val="20"/>
          <w:szCs w:val="20"/>
          <w:color w:val="auto"/>
        </w:rPr>
      </w:pPr>
    </w:p>
    <w:p>
      <w:pPr>
        <w:jc w:val="both"/>
        <w:ind w:left="600" w:right="619" w:firstLine="416"/>
        <w:spacing w:after="0" w:line="271"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 xml:space="preserve">Houndify Edge Hybrid </w:t>
      </w:r>
      <w:r>
        <w:rPr>
          <w:rFonts w:ascii="Times New Roman" w:cs="Times New Roman" w:eastAsia="Times New Roman" w:hAnsi="Times New Roman"/>
          <w:sz w:val="17"/>
          <w:szCs w:val="17"/>
          <w:color w:val="auto"/>
        </w:rPr>
        <w:t>solutions are designed to ensure that devices are always-on and responsive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commands. Allows for over-the-air product updates and a broader voice experience with the level of cloud-connectivity that best matches the product and its users.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1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69850</wp:posOffset>
            </wp:positionV>
            <wp:extent cx="4942840" cy="2665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42840" cy="2665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466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42840" cy="246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1" w:name="page82"/>
    <w:bookmarkEnd w:id="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78105</wp:posOffset>
            </wp:positionV>
            <wp:extent cx="4942840" cy="2508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42840" cy="2508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440" w:right="619" w:hanging="418"/>
        <w:spacing w:after="0" w:line="275"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4" w:lineRule="exact"/>
        <w:rPr>
          <w:rFonts w:ascii="Times New Roman" w:cs="Times New Roman" w:eastAsia="Times New Roman" w:hAnsi="Times New Roman"/>
          <w:sz w:val="17"/>
          <w:szCs w:val="17"/>
          <w:color w:val="auto"/>
        </w:rPr>
      </w:pPr>
    </w:p>
    <w:p>
      <w:pPr>
        <w:jc w:val="both"/>
        <w:ind w:left="1440" w:right="619" w:hanging="418"/>
        <w:spacing w:after="0" w:line="268"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88" w:lineRule="exact"/>
        <w:rPr>
          <w:rFonts w:ascii="Times New Roman" w:cs="Times New Roman" w:eastAsia="Times New Roman" w:hAnsi="Times New Roman"/>
          <w:sz w:val="17"/>
          <w:szCs w:val="17"/>
          <w:color w:val="auto"/>
        </w:rPr>
      </w:pPr>
    </w:p>
    <w:p>
      <w:pPr>
        <w:jc w:val="both"/>
        <w:ind w:left="1440" w:right="619" w:hanging="418"/>
        <w:spacing w:after="0" w:line="260"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212090</wp:posOffset>
            </wp:positionV>
            <wp:extent cx="4942840" cy="3416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42840"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63500</wp:posOffset>
            </wp:positionV>
            <wp:extent cx="4942840" cy="22110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42840" cy="2211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0"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4" w:name="page85"/>
    <w:bookmarkEnd w:id="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Deutsche Telekom: Magenta Speaker in Germany</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 currently has a team of 458 members, 449 of which are full-time employees and 9 of which are part-time, with a presence spanning 16 countries.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7"/>
                <w:szCs w:val="17"/>
                <w:color w:val="auto"/>
              </w:rPr>
            </w:pPr>
          </w:p>
        </w:tc>
        <w:tc>
          <w:tcPr>
            <w:tcW w:w="426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Revenue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39"/>
        </w:trPr>
        <w:tc>
          <w:tcPr>
            <w:tcW w:w="22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34"/>
        </w:trPr>
        <w:tc>
          <w:tcPr>
            <w:tcW w:w="2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18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1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0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Zubin Irani. </w:t>
      </w:r>
      <w:r>
        <w:rPr>
          <w:rFonts w:ascii="Times New Roman" w:cs="Times New Roman" w:eastAsia="Times New Roman" w:hAnsi="Times New Roman"/>
          <w:sz w:val="17"/>
          <w:szCs w:val="17"/>
          <w:color w:val="auto"/>
        </w:rPr>
        <w:t>Zubin Irani has been Chief Revenue Officer of the Company since the consummation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Combination in April 2022. Prior to that, Mr. Irani served as Legacy SoundHound’s Chief Revenue Officer since 2021. Prior to joining Legacy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0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5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Board has one class of directors, with each director being elected in each year and serving a one-year term.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standing committees of our Board consist of an Audit Committee, a Compensation Committee, and a Nominating and Corporate Governance Committee. The composition of each committee is set forth below.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0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32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For the year ended December 31, 2021, Legacy SoundHound’s named executive officers were Dr. Keyvan Mohajer, Chief Executive Officer, Nitesh Sharan, Chief Financial Officer, and Timothy Stonehocker, Chief Technology Officer.</w:t>
      </w:r>
    </w:p>
    <w:p>
      <w:pPr>
        <w:spacing w:after="0" w:line="9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“Recent Developments” below for information regarding our current compensation arrangements with named executive officers. .</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 2021</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 ended December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6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(1)</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6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22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8"/>
              </w:rPr>
              <w:t>Year</w:t>
            </w: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80" w:type="dxa"/>
            <w:vAlign w:val="bottom"/>
            <w:gridSpan w:val="2"/>
          </w:tcPr>
          <w:p>
            <w:pPr>
              <w:jc w:val="center"/>
              <w:ind w:left="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86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5"/>
        </w:trPr>
        <w:tc>
          <w:tcPr>
            <w:tcW w:w="21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1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r>
      <w:tr>
        <w:trPr>
          <w:trHeight w:val="273"/>
        </w:trPr>
        <w:tc>
          <w:tcPr>
            <w:tcW w:w="22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r>
              <w:rPr>
                <w:rFonts w:ascii="Times New Roman" w:cs="Times New Roman" w:eastAsia="Times New Roman" w:hAnsi="Times New Roman"/>
                <w:sz w:val="20"/>
                <w:szCs w:val="20"/>
                <w:color w:val="auto"/>
                <w:vertAlign w:val="superscript"/>
              </w:rPr>
              <w:t>(2)</w:t>
            </w:r>
          </w:p>
        </w:tc>
        <w:tc>
          <w:tcPr>
            <w:tcW w:w="4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80" w:type="dxa"/>
            <w:vAlign w:val="bottom"/>
          </w:tcPr>
          <w:p>
            <w:pPr>
              <w:spacing w:after="0"/>
              <w:rPr>
                <w:sz w:val="23"/>
                <w:szCs w:val="2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75,000​</w:t>
            </w:r>
            <w:r>
              <w:rPr>
                <w:rFonts w:ascii="Times New Roman" w:cs="Times New Roman" w:eastAsia="Times New Roman" w:hAnsi="Times New Roman"/>
                <w:sz w:val="20"/>
                <w:szCs w:val="20"/>
                <w:color w:val="auto"/>
                <w:w w:val="96"/>
                <w:vertAlign w:val="superscript"/>
              </w:rPr>
              <w:t>(3)</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80" w:type="dxa"/>
            <w:vAlign w:val="bottom"/>
          </w:tcPr>
          <w:p>
            <w:pPr>
              <w:spacing w:after="0"/>
              <w:rPr>
                <w:sz w:val="23"/>
                <w:szCs w:val="23"/>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1,110,403</w:t>
            </w:r>
          </w:p>
        </w:tc>
      </w:tr>
      <w:tr>
        <w:trPr>
          <w:trHeight w:val="234"/>
        </w:trPr>
        <w:tc>
          <w:tcPr>
            <w:tcW w:w="20" w:type="dxa"/>
            <w:vAlign w:val="bottom"/>
          </w:tcPr>
          <w:p>
            <w:pPr>
              <w:spacing w:after="0"/>
              <w:rPr>
                <w:sz w:val="20"/>
                <w:szCs w:val="20"/>
                <w:color w:val="auto"/>
              </w:rPr>
            </w:pPr>
          </w:p>
        </w:tc>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Timothy Stonehocker, </w:t>
            </w:r>
            <w:r>
              <w:rPr>
                <w:rFonts w:ascii="Times New Roman" w:cs="Times New Roman" w:eastAsia="Times New Roman" w:hAnsi="Times New Roman"/>
                <w:sz w:val="17"/>
                <w:szCs w:val="17"/>
                <w:i w:val="1"/>
                <w:iCs w:val="1"/>
                <w:color w:val="auto"/>
              </w:rPr>
              <w:t>CTO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2,170</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252,170</w:t>
            </w:r>
          </w:p>
        </w:tc>
      </w:tr>
      <w:tr>
        <w:trPr>
          <w:trHeight w:val="39"/>
        </w:trPr>
        <w:tc>
          <w:tcPr>
            <w:tcW w:w="20" w:type="dxa"/>
            <w:vAlign w:val="bottom"/>
          </w:tcPr>
          <w:p>
            <w:pPr>
              <w:spacing w:after="0"/>
              <w:rPr>
                <w:sz w:val="3"/>
                <w:szCs w:val="3"/>
                <w:color w:val="auto"/>
              </w:rPr>
            </w:pPr>
          </w:p>
        </w:tc>
        <w:tc>
          <w:tcPr>
            <w:tcW w:w="2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jc w:val="both"/>
        <w:ind w:left="1020" w:right="619" w:hanging="414"/>
        <w:spacing w:after="0" w:line="292"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3" w:lineRule="exact"/>
        <w:rPr>
          <w:rFonts w:ascii="Times New Roman" w:cs="Times New Roman" w:eastAsia="Times New Roman" w:hAnsi="Times New Roman"/>
          <w:sz w:val="14"/>
          <w:szCs w:val="14"/>
          <w:color w:val="auto"/>
        </w:rPr>
      </w:pPr>
    </w:p>
    <w:p>
      <w:pPr>
        <w:ind w:left="1020" w:right="619" w:hanging="414"/>
        <w:spacing w:after="0" w:line="254"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is $300,000.</w:t>
      </w:r>
    </w:p>
    <w:p>
      <w:pPr>
        <w:ind w:left="1020" w:right="619" w:hanging="414"/>
        <w:spacing w:after="0" w:line="268"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 subject to repayment if executive’s employment terminates prior to the one-year anniversary of his start date.</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57"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03"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As of December 31, 2021, stock options to purchase 894,474 shares of SoundHound’s common stock (now shares of our Class A Common Stock) with a weighted-average exercise price of $4.76 per share were outstanding under the 2006 Stock Plan. As of December 31, 2021, there were no outstanding awards under the 2006 Stock Plan other than these options.</w:t>
      </w:r>
    </w:p>
    <w:p>
      <w:pPr>
        <w:spacing w:after="0" w:line="31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101"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 Mr. Stonehocker was granted a mix of ISOs and NSOs. See the “Outstanding Equity Awards at 2021 Fiscal Year End” table below for further information about the Company’s named executive officers’ outstanding options as of December 31, 2021.</w:t>
      </w:r>
    </w:p>
    <w:p>
      <w:pPr>
        <w:spacing w:after="0" w:line="103"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103"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below.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53"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9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701,460 shares. As of December 31, 2021, stock options to purchase 4,575,809 shares of Legacy SoundHound’s common stock (now shares of our Class A Common Stock) with a weighted-average exercise price of $22.01 per share were outstanding under the 2016 Incentive Plan. As of December 31, 2021, there were no outstanding awards under the 2016 Incentive Plan other than these options.</w:t>
      </w:r>
    </w:p>
    <w:p>
      <w:pPr>
        <w:spacing w:after="0" w:line="108"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14"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Options. Legacy </w:t>
      </w:r>
      <w:r>
        <w:rPr>
          <w:rFonts w:ascii="Times New Roman" w:cs="Times New Roman" w:eastAsia="Times New Roman" w:hAnsi="Times New Roman"/>
          <w:sz w:val="17"/>
          <w:szCs w:val="17"/>
          <w:color w:val="auto"/>
        </w:rPr>
        <w:t>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2021 Fiscal Year End” table below for further information about the Company’s named executive officers’ outstanding options as of December 31, 2021.</w:t>
      </w:r>
    </w:p>
    <w:p>
      <w:pPr>
        <w:spacing w:after="0" w:line="9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0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55"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 2022 Equity Incentive Plan </w:t>
      </w:r>
      <w:r>
        <w:rPr>
          <w:rFonts w:ascii="Times New Roman" w:cs="Times New Roman" w:eastAsia="Times New Roman" w:hAnsi="Times New Roman"/>
          <w:sz w:val="17"/>
          <w:szCs w:val="17"/>
          <w:color w:val="auto"/>
        </w:rPr>
        <w:t>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42" w:lineRule="exact"/>
        <w:rPr>
          <w:sz w:val="20"/>
          <w:szCs w:val="20"/>
          <w:color w:val="auto"/>
        </w:rPr>
      </w:pPr>
    </w:p>
    <w:p>
      <w:pPr>
        <w:jc w:val="both"/>
        <w:ind w:left="600" w:right="639" w:firstLine="416"/>
        <w:spacing w:after="0" w:line="295"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2021</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Chief Technology Officer and Chief Revenue Officer were all parties to letter agreements with Legacy SoundHound and then SoundHound AI through June 2, 2022, provided that the letter agreement with Mr. Zubin Irani, our Chief Revenue Officer was not effective until January 5, 2022.</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 Officers</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which replaced and superseded all prior employment agreements with such named executive officers. In addition, the Board adopted and approved a Non-Employee Director Compensation Policy.</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Under Dr. Mohajer’ 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9"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9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Timothy Stonehocker, Chief Technology Officer</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Under Mr. Stonehocker’s employment agreement (the “CTO Employment Agreement”), Mr. Stonehocker receives a base salary of $335,000,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CTO Employment Agreement provides for the grant to Mr. Stonehocker of 210,000 RSUs under the 2022 Incentive Award Plan, which grant became effective upon the filing of the Form S-8 with the SEC The RSUs have a 10-year term and 4-year vesting period vesting in equal quarterly installments with vesting measured from the vesting commencement date of May 1, 2022, subject to continued employment with the Company through each vesting date.</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Mr. Stonehocker will also be granted 140,000 PSUs under the Incentive Award Plan, which grant will be made after a Form S-8 is on file with the SEC to register shares under the Incentive Award Plan. Once granted, the PSUs will have a four-year performance period and will be subject to the following vesting schedule:</w:t>
      </w:r>
    </w:p>
    <w:p>
      <w:pPr>
        <w:spacing w:after="0" w:line="2" w:lineRule="exact"/>
        <w:rPr>
          <w:sz w:val="20"/>
          <w:szCs w:val="20"/>
          <w:color w:val="auto"/>
        </w:rPr>
      </w:pPr>
    </w:p>
    <w:p>
      <w:pPr>
        <w:jc w:val="both"/>
        <w:ind w:left="600" w:right="619" w:firstLine="6"/>
        <w:spacing w:after="0" w:line="262" w:lineRule="auto"/>
        <w:tabs>
          <w:tab w:leader="none" w:pos="83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Mr. Stonehocker is eligible to participate in the standard benefit plans offered to similarly-situated employees by the Company from time to time.</w:t>
      </w:r>
    </w:p>
    <w:p>
      <w:pPr>
        <w:spacing w:after="0" w:line="8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June 2022 CTO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Mr. Stonehocker’s has also entered into the Company’s standard form of confidential information and inventions assignment agreement.</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Agreement with Irani Zubin, Chief Revenue Officer</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foregoing tables do not include information with respect to Mr. Zubin Irani, who commenced his service as Legacy SoundHound’s Chief Revenue Officer in January 2022, pursuant to the terms of an offer letter agreement dated September 14, 2021 (the “CRO Letter Agreement”). Under the CRO letter agreement, Mr. Irani receives a base salary of $300,000 per year, along with any standard benefit plans available to similarly-situated employees. Mr. Irani is eligible for an annual performance-based cash bonus of up to 100% of his annual base salary amount, which shall be linked to mutually agreed upon Company revenue goals and job performance.</w:t>
      </w:r>
    </w:p>
    <w:p>
      <w:pPr>
        <w:spacing w:after="0" w:line="31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5"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3" w:lineRule="auto"/>
        <w:rPr>
          <w:sz w:val="20"/>
          <w:szCs w:val="20"/>
          <w:color w:val="auto"/>
        </w:rPr>
      </w:pPr>
      <w:r>
        <w:rPr>
          <w:rFonts w:ascii="Times New Roman" w:cs="Times New Roman" w:eastAsia="Times New Roman" w:hAnsi="Times New Roman"/>
          <w:sz w:val="17"/>
          <w:szCs w:val="17"/>
          <w:color w:val="auto"/>
        </w:rPr>
        <w:t>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w:t>
      </w:r>
    </w:p>
    <w:p>
      <w:pPr>
        <w:spacing w:after="0" w:line="31" w:lineRule="exact"/>
        <w:rPr>
          <w:sz w:val="20"/>
          <w:szCs w:val="20"/>
          <w:color w:val="auto"/>
        </w:rPr>
      </w:pPr>
    </w:p>
    <w:p>
      <w:pPr>
        <w:jc w:val="both"/>
        <w:ind w:left="600" w:right="619" w:firstLine="6"/>
        <w:spacing w:after="0" w:line="257" w:lineRule="auto"/>
        <w:tabs>
          <w:tab w:leader="none" w:pos="84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Global Market of $15.00 or higher; and (c) 50,000 PSUs vesting upon the first achievement of the Class A Common Stock closing at a 90-day average closing price on the Nasdaq Global Market of $20.00 or higher.</w:t>
      </w:r>
    </w:p>
    <w:p>
      <w:pPr>
        <w:spacing w:after="0" w:line="113"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If Mr. Irani’s employment is terminated without cause or due to a constructive termination (in each, as defined in the CRO Letter Agreement), he is entitled to continued payment of his then current base salary for six months.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OUTSTANDING EQUITY AWARDS AT 2021 FISCAL YEAR END</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2021.</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9"/>
                <w:szCs w:val="9"/>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80" w:type="dxa"/>
            <w:vAlign w:val="bottom"/>
          </w:tcPr>
          <w:p>
            <w:pPr>
              <w:spacing w:after="0"/>
              <w:rPr>
                <w:sz w:val="9"/>
                <w:szCs w:val="9"/>
                <w:color w:val="auto"/>
              </w:rPr>
            </w:pPr>
          </w:p>
        </w:tc>
        <w:tc>
          <w:tcPr>
            <w:tcW w:w="1000" w:type="dxa"/>
            <w:vAlign w:val="bottom"/>
            <w:gridSpan w:val="3"/>
          </w:tcPr>
          <w:p>
            <w:pPr>
              <w:jc w:val="center"/>
              <w:ind w:right="160"/>
              <w:spacing w:after="0" w:line="11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80" w:type="dxa"/>
            <w:vAlign w:val="bottom"/>
          </w:tcPr>
          <w:p>
            <w:pPr>
              <w:spacing w:after="0"/>
              <w:rPr>
                <w:sz w:val="12"/>
                <w:szCs w:val="12"/>
                <w:color w:val="auto"/>
              </w:rPr>
            </w:pPr>
          </w:p>
        </w:tc>
        <w:tc>
          <w:tcPr>
            <w:tcW w:w="100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66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Option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60" w:type="dxa"/>
            <w:vAlign w:val="bottom"/>
            <w:gridSpan w:val="2"/>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40" w:type="dxa"/>
            <w:vAlign w:val="bottom"/>
            <w:gridSpan w:val="2"/>
          </w:tcPr>
          <w:p>
            <w:pPr>
              <w:jc w:val="center"/>
              <w:ind w:left="6"/>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1080" w:type="dxa"/>
            <w:vAlign w:val="bottom"/>
            <w:gridSpan w:val="4"/>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66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7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Dr. Keyvan Mohajer,</w:t>
            </w:r>
          </w:p>
        </w:tc>
        <w:tc>
          <w:tcPr>
            <w:tcW w:w="7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bscript"/>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03/28/2017</w:t>
            </w:r>
          </w:p>
        </w:tc>
        <w:tc>
          <w:tcPr>
            <w:tcW w:w="94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03/28/2027</w:t>
            </w:r>
          </w:p>
        </w:tc>
        <w:tc>
          <w:tcPr>
            <w:tcW w:w="0" w:type="dxa"/>
            <w:vAlign w:val="bottom"/>
          </w:tcPr>
          <w:p>
            <w:pPr>
              <w:spacing w:after="0"/>
              <w:rPr>
                <w:sz w:val="1"/>
                <w:szCs w:val="1"/>
                <w:color w:val="auto"/>
              </w:rPr>
            </w:pPr>
          </w:p>
        </w:tc>
      </w:tr>
      <w:tr>
        <w:trPr>
          <w:trHeight w:val="117"/>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09/27/2021</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55,555</w:t>
            </w: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09/27/2031</w:t>
            </w:r>
          </w:p>
        </w:tc>
        <w:tc>
          <w:tcPr>
            <w:tcW w:w="0" w:type="dxa"/>
            <w:vAlign w:val="bottom"/>
          </w:tcPr>
          <w:p>
            <w:pPr>
              <w:spacing w:after="0"/>
              <w:rPr>
                <w:sz w:val="1"/>
                <w:szCs w:val="1"/>
                <w:color w:val="auto"/>
              </w:rPr>
            </w:pPr>
          </w:p>
        </w:tc>
      </w:tr>
      <w:tr>
        <w:trPr>
          <w:trHeight w:val="156"/>
        </w:trPr>
        <w:tc>
          <w:tcPr>
            <w:tcW w:w="174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gridSpan w:val="3"/>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Timothy Stonehocker,</w:t>
            </w:r>
          </w:p>
        </w:tc>
        <w:tc>
          <w:tcPr>
            <w:tcW w:w="7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7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CTO</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05/19/2015</w:t>
            </w: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8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05/19/2025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line="156" w:lineRule="exact"/>
              <w:rPr>
                <w:sz w:val="20"/>
                <w:szCs w:val="20"/>
                <w:color w:val="auto"/>
              </w:rPr>
            </w:pPr>
            <w:r>
              <w:rPr>
                <w:rFonts w:ascii="Times New Roman" w:cs="Times New Roman" w:eastAsia="Times New Roman" w:hAnsi="Times New Roman"/>
                <w:sz w:val="16"/>
                <w:szCs w:val="16"/>
                <w:color w:val="auto"/>
              </w:rPr>
              <w:t>40,000</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80" w:type="dxa"/>
            <w:vAlign w:val="bottom"/>
            <w:gridSpan w:val="4"/>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12/15/2016</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0"/>
                <w:szCs w:val="10"/>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8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8"/>
              </w:rPr>
              <w:t>12/15/2026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w w:val="98"/>
              </w:rPr>
              <w:t>11/01/2016</w:t>
            </w:r>
            <w:r>
              <w:rPr>
                <w:rFonts w:ascii="Times New Roman" w:cs="Times New Roman" w:eastAsia="Times New Roman" w:hAnsi="Times New Roman"/>
                <w:sz w:val="17"/>
                <w:szCs w:val="17"/>
                <w:color w:val="auto"/>
                <w:w w:val="98"/>
              </w:rPr>
              <w:t>​</w:t>
            </w: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2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08/15/2019</w:t>
            </w: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16,250</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0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08/15/2029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01/08/2019</w:t>
            </w:r>
            <w:r>
              <w:rPr>
                <w:rFonts w:ascii="Times New Roman" w:cs="Times New Roman" w:eastAsia="Times New Roman" w:hAnsi="Times New Roman"/>
                <w:sz w:val="17"/>
                <w:szCs w:val="17"/>
                <w:color w:val="auto"/>
              </w:rPr>
              <w:t>​</w:t>
            </w:r>
          </w:p>
        </w:tc>
        <w:tc>
          <w:tcPr>
            <w:tcW w:w="740" w:type="dxa"/>
            <w:vAlign w:val="bottom"/>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080" w:type="dxa"/>
            <w:vAlign w:val="bottom"/>
            <w:gridSpan w:val="4"/>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89" w:lineRule="exact"/>
        <w:rPr>
          <w:sz w:val="20"/>
          <w:szCs w:val="20"/>
          <w:color w:val="auto"/>
        </w:rPr>
      </w:pPr>
    </w:p>
    <w:p>
      <w:pPr>
        <w:ind w:left="1020" w:hanging="414"/>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14"/>
        <w:spacing w:after="0" w:line="245"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ind w:left="1020" w:right="619" w:hanging="414"/>
        <w:spacing w:after="0" w:line="247"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 19, 2015, option grant made to Mr. Stonehocker was under the 2006 Stock Plan. All other awards described in this chart were made under the 2016 Incentive Plan.</w:t>
      </w:r>
    </w:p>
    <w:p>
      <w:pPr>
        <w:spacing w:after="0" w:line="1" w:lineRule="exact"/>
        <w:rPr>
          <w:rFonts w:ascii="Times New Roman" w:cs="Times New Roman" w:eastAsia="Times New Roman" w:hAnsi="Times New Roman"/>
          <w:sz w:val="16"/>
          <w:szCs w:val="16"/>
          <w:color w:val="auto"/>
        </w:rPr>
      </w:pPr>
    </w:p>
    <w:p>
      <w:pPr>
        <w:ind w:left="1020" w:right="619" w:hanging="414"/>
        <w:spacing w:after="0" w:line="239"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following Vesting Start Date.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9" w:name="page100"/>
    <w:bookmarkEnd w:id="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directors received compensation for their service on ATSP’s board of directors in 2021.</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2" w:lineRule="exact"/>
        <w:rPr>
          <w:sz w:val="20"/>
          <w:szCs w:val="20"/>
          <w:color w:val="auto"/>
        </w:rPr>
      </w:pPr>
    </w:p>
    <w:p>
      <w:pPr>
        <w:ind w:left="940" w:hanging="334"/>
        <w:spacing w:after="0"/>
        <w:tabs>
          <w:tab w:leader="none" w:pos="94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2" w:lineRule="exact"/>
        <w:rPr>
          <w:rFonts w:ascii="Times New Roman" w:cs="Times New Roman" w:eastAsia="Times New Roman" w:hAnsi="Times New Roman"/>
          <w:sz w:val="17"/>
          <w:szCs w:val="17"/>
          <w:color w:val="auto"/>
        </w:rPr>
      </w:pPr>
    </w:p>
    <w:p>
      <w:pPr>
        <w:jc w:val="both"/>
        <w:ind w:left="600" w:right="619" w:firstLine="6"/>
        <w:spacing w:after="0" w:line="256" w:lineRule="auto"/>
        <w:tabs>
          <w:tab w:leader="none" w:pos="89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Incentive Award Plan.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0" w:name="page101"/>
    <w:bookmarkEnd w:id="1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7" w:lineRule="exact"/>
        <w:rPr>
          <w:sz w:val="20"/>
          <w:szCs w:val="20"/>
          <w:color w:val="auto"/>
        </w:rPr>
      </w:pPr>
    </w:p>
    <w:p>
      <w:pPr>
        <w:ind w:left="1420" w:hanging="398"/>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4" w:lineRule="exact"/>
        <w:rPr>
          <w:sz w:val="20"/>
          <w:szCs w:val="20"/>
          <w:color w:val="auto"/>
        </w:rPr>
      </w:pPr>
    </w:p>
    <w:p>
      <w:pPr>
        <w:ind w:left="1420" w:hanging="398"/>
        <w:spacing w:after="0"/>
        <w:tabs>
          <w:tab w:leader="none" w:pos="14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5" w:lineRule="exact"/>
        <w:rPr>
          <w:sz w:val="20"/>
          <w:szCs w:val="20"/>
          <w:color w:val="auto"/>
        </w:rPr>
      </w:pPr>
    </w:p>
    <w:p>
      <w:pPr>
        <w:ind w:left="1420" w:hanging="398"/>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09"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1" w:name="page102"/>
    <w:bookmarkEnd w:id="1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32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November 15, 2022, there were awards for an aggregate of 15,899,754 shares of Class A Common Stock granted under the 2022 Incentive Award Plan.</w:t>
      </w:r>
    </w:p>
    <w:p>
      <w:pPr>
        <w:spacing w:after="0" w:line="8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6"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September 30, 2022, 473 employees, including seven executive officers (two of whom are employee directors), three non-employee directors, and two consultants are eligible to participate in the 2022 Incentive Award Plan.</w:t>
      </w:r>
    </w:p>
    <w:p>
      <w:pPr>
        <w:spacing w:after="0" w:line="105"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2" w:name="page103"/>
    <w:bookmarkEnd w:id="1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08"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88"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3"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1"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322"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3"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10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10"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5" w:lineRule="exact"/>
        <w:rPr>
          <w:sz w:val="20"/>
          <w:szCs w:val="20"/>
          <w:color w:val="auto"/>
        </w:rPr>
      </w:pPr>
    </w:p>
    <w:p>
      <w:pPr>
        <w:jc w:val="both"/>
        <w:ind w:left="600" w:right="619" w:firstLine="416"/>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1" w:lineRule="exact"/>
        <w:rPr>
          <w:sz w:val="20"/>
          <w:szCs w:val="20"/>
          <w:color w:val="auto"/>
        </w:rPr>
      </w:pPr>
    </w:p>
    <w:p>
      <w:pPr>
        <w:jc w:val="both"/>
        <w:ind w:left="600" w:right="619" w:firstLine="6"/>
        <w:spacing w:after="0" w:line="258" w:lineRule="auto"/>
        <w:tabs>
          <w:tab w:leader="none" w:pos="8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09"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8"/>
        <w:spacing w:after="0"/>
        <w:tabs>
          <w:tab w:leader="none" w:pos="1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94" w:lineRule="exact"/>
        <w:rPr>
          <w:sz w:val="20"/>
          <w:szCs w:val="20"/>
          <w:color w:val="auto"/>
        </w:rPr>
      </w:pPr>
    </w:p>
    <w:p>
      <w:pPr>
        <w:ind w:left="1440" w:hanging="418"/>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42"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95"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5"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90" w:lineRule="exact"/>
        <w:rPr>
          <w:sz w:val="20"/>
          <w:szCs w:val="20"/>
          <w:color w:val="auto"/>
        </w:rPr>
      </w:pPr>
    </w:p>
    <w:p>
      <w:pPr>
        <w:jc w:val="both"/>
        <w:ind w:left="600" w:right="619" w:firstLine="416"/>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Up to a maximum of 3,930,074 shares of Class A Common Stock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under the ESPP, plus an annual increase in shares described below.</w:t>
      </w:r>
    </w:p>
    <w:p>
      <w:pPr>
        <w:spacing w:after="0" w:line="8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Class A Common Stock determined by the Company’s Board. Shares of the Company’s Class A Common Stock issued under the ESPP may be authorized but unissued shares or treasury shares. As of October 1, 2022, no rights to purchase shares have been granted under the ESPP.</w:t>
      </w:r>
    </w:p>
    <w:p>
      <w:pPr>
        <w:spacing w:after="0" w:line="9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473 employees (including seven executive officers, two of whom are employee directors) as eligible participants, as of September 30,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26"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6" w:lineRule="exact"/>
        <w:rPr>
          <w:sz w:val="20"/>
          <w:szCs w:val="20"/>
          <w:color w:val="auto"/>
        </w:rPr>
      </w:pPr>
    </w:p>
    <w:p>
      <w:pPr>
        <w:jc w:val="both"/>
        <w:ind w:left="600" w:right="619" w:firstLine="416"/>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9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3" w:lineRule="exact"/>
        <w:rPr>
          <w:sz w:val="20"/>
          <w:szCs w:val="20"/>
          <w:color w:val="auto"/>
        </w:rPr>
      </w:pPr>
    </w:p>
    <w:p>
      <w:pPr>
        <w:jc w:val="both"/>
        <w:ind w:left="600" w:right="619" w:firstLine="416"/>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3"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4" w:lineRule="exact"/>
        <w:rPr>
          <w:sz w:val="20"/>
          <w:szCs w:val="20"/>
          <w:color w:val="auto"/>
        </w:rPr>
      </w:pPr>
    </w:p>
    <w:p>
      <w:pPr>
        <w:ind w:left="1420" w:hanging="398"/>
        <w:spacing w:after="0"/>
        <w:tabs>
          <w:tab w:leader="none" w:pos="1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10"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1"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8" w:name="page109"/>
    <w:bookmarkEnd w:id="1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5"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1"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1" w:lineRule="exact"/>
        <w:rPr>
          <w:sz w:val="20"/>
          <w:szCs w:val="20"/>
          <w:color w:val="auto"/>
        </w:rPr>
      </w:pPr>
    </w:p>
    <w:p>
      <w:pPr>
        <w:ind w:left="1440" w:hanging="418"/>
        <w:spacing w:after="0"/>
        <w:tabs>
          <w:tab w:leader="none" w:pos="14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7" w:lineRule="exact"/>
        <w:rPr>
          <w:sz w:val="20"/>
          <w:szCs w:val="20"/>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7" w:lineRule="exact"/>
        <w:rPr>
          <w:sz w:val="20"/>
          <w:szCs w:val="20"/>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7" w:lineRule="exact"/>
        <w:rPr>
          <w:sz w:val="20"/>
          <w:szCs w:val="20"/>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On November 10, 2022, the Registration Statement on Form S-1, initially filed with the SEC on May 16, 2022, was declared effective by the SEC, relating to the Company’s obligations under the Amended and Restated Registration Rights Agreement.</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spacing w:after="0" w:line="1" w:lineRule="exact"/>
        <w:rPr>
          <w:sz w:val="20"/>
          <w:szCs w:val="20"/>
          <w:color w:val="auto"/>
        </w:rPr>
      </w:pPr>
    </w:p>
    <w:p>
      <w:pPr>
        <w:jc w:val="both"/>
        <w:ind w:left="600" w:right="619" w:firstLine="6"/>
        <w:spacing w:after="0" w:line="259" w:lineRule="auto"/>
        <w:tabs>
          <w:tab w:leader="none" w:pos="87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1"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107" w:lineRule="exact"/>
        <w:rPr>
          <w:sz w:val="20"/>
          <w:szCs w:val="20"/>
          <w:color w:val="auto"/>
        </w:rPr>
      </w:pPr>
    </w:p>
    <w:p>
      <w:pPr>
        <w:ind w:left="1440" w:right="619" w:hanging="418"/>
        <w:spacing w:after="0" w:line="293"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64"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7"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8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5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46"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59" w:lineRule="auto"/>
        <w:rPr>
          <w:sz w:val="20"/>
          <w:szCs w:val="20"/>
          <w:color w:val="auto"/>
        </w:rPr>
      </w:pPr>
      <w:r>
        <w:rPr>
          <w:rFonts w:ascii="Times New Roman" w:cs="Times New Roman" w:eastAsia="Times New Roman" w:hAnsi="Times New Roman"/>
          <w:sz w:val="17"/>
          <w:szCs w:val="17"/>
          <w:color w:val="auto"/>
        </w:rPr>
        <w:t>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5" w:lineRule="exact"/>
        <w:rPr>
          <w:sz w:val="20"/>
          <w:szCs w:val="20"/>
          <w:color w:val="auto"/>
        </w:rPr>
      </w:pPr>
    </w:p>
    <w:p>
      <w:pPr>
        <w:ind w:left="1440" w:hanging="418"/>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1" w:lineRule="exact"/>
        <w:rPr>
          <w:sz w:val="20"/>
          <w:szCs w:val="20"/>
          <w:color w:val="auto"/>
        </w:rPr>
      </w:pPr>
    </w:p>
    <w:p>
      <w:pPr>
        <w:jc w:val="both"/>
        <w:ind w:left="600" w:right="619" w:firstLine="416"/>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November 15, 2022 by:</w:t>
      </w:r>
    </w:p>
    <w:p>
      <w:pPr>
        <w:spacing w:after="0" w:line="81" w:lineRule="exact"/>
        <w:rPr>
          <w:sz w:val="20"/>
          <w:szCs w:val="20"/>
          <w:color w:val="auto"/>
        </w:rPr>
      </w:pPr>
    </w:p>
    <w:p>
      <w:pPr>
        <w:ind w:left="1440" w:right="619" w:hanging="418"/>
        <w:spacing w:after="0" w:line="293" w:lineRule="auto"/>
        <w:tabs>
          <w:tab w:leader="none" w:pos="1435"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percentage of beneficial ownership is based on 197,914,526 shares of Company common stock issued and outstanding as of November 15, 2022, which calculation includes (i) 157,517,926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9"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November 15, 2022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of Class A</w:t>
            </w:r>
          </w:p>
        </w:tc>
        <w:tc>
          <w:tcPr>
            <w:tcW w:w="62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Shares of Class B</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5"/>
        </w:trPr>
        <w:tc>
          <w:tcPr>
            <w:tcW w:w="2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Owners</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Class</w:t>
            </w:r>
          </w:p>
        </w:tc>
        <w:tc>
          <w:tcPr>
            <w:tcW w:w="80" w:type="dxa"/>
            <w:vAlign w:val="bottom"/>
          </w:tcPr>
          <w:p>
            <w:pPr>
              <w:spacing w:after="0"/>
              <w:rPr>
                <w:sz w:val="17"/>
                <w:szCs w:val="17"/>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 Stock</w:t>
            </w: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Voting Power</w:t>
            </w:r>
          </w:p>
        </w:tc>
      </w:tr>
      <w:tr>
        <w:trPr>
          <w:trHeight w:val="45"/>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7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1,015,935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16,639,064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64,306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5,173,780</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940,627</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20,876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Eric R. Ball</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20,876</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731,054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18,583,756</w:t>
            </w:r>
          </w:p>
        </w:tc>
        <w:tc>
          <w:tcPr>
            <w:tcW w:w="10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Zubin Irani</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189,310</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1,668,509</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221,460</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3"/>
        </w:trPr>
        <w:tc>
          <w:tcPr>
            <w:tcW w:w="20" w:type="dxa"/>
            <w:vAlign w:val="bottom"/>
          </w:tcPr>
          <w:p>
            <w:pPr>
              <w:spacing w:after="0"/>
              <w:rPr>
                <w:sz w:val="23"/>
                <w:szCs w:val="2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1,005,555</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88"/>
        </w:trPr>
        <w:tc>
          <w:tcPr>
            <w:tcW w:w="20" w:type="dxa"/>
            <w:vAlign w:val="bottom"/>
          </w:tcPr>
          <w:p>
            <w:pPr>
              <w:spacing w:after="0"/>
              <w:rPr>
                <w:sz w:val="16"/>
                <w:szCs w:val="16"/>
                <w:color w:val="auto"/>
              </w:rPr>
            </w:pPr>
          </w:p>
        </w:tc>
        <w:tc>
          <w:tcPr>
            <w:tcW w:w="2780" w:type="dxa"/>
            <w:vAlign w:val="bottom"/>
          </w:tcPr>
          <w:p>
            <w:pPr>
              <w:spacing w:after="0" w:line="188" w:lineRule="exact"/>
              <w:rPr>
                <w:sz w:val="20"/>
                <w:szCs w:val="20"/>
                <w:color w:val="auto"/>
              </w:rPr>
            </w:pPr>
            <w:r>
              <w:rPr>
                <w:rFonts w:ascii="Times New Roman" w:cs="Times New Roman" w:eastAsia="Times New Roman" w:hAnsi="Times New Roman"/>
                <w:sz w:val="17"/>
                <w:szCs w:val="17"/>
                <w:i w:val="1"/>
                <w:iCs w:val="1"/>
                <w:color w:val="auto"/>
              </w:rPr>
              <w:t>All directors and executive officers as a</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group (10 individuals)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5,878,508</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40,396,600</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39"/>
        </w:trPr>
        <w:tc>
          <w:tcPr>
            <w:tcW w:w="28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81"/>
        </w:trPr>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Global Catalyst Partners III, L.P.</w:t>
            </w:r>
            <w:r>
              <w:rPr>
                <w:rFonts w:ascii="Times New Roman" w:cs="Times New Roman" w:eastAsia="Times New Roman" w:hAnsi="Times New Roman"/>
                <w:sz w:val="20"/>
                <w:szCs w:val="20"/>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35,188,205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1000" w:hanging="394"/>
        <w:spacing w:after="0"/>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November 15, 2022.</w:t>
      </w:r>
    </w:p>
    <w:p>
      <w:pPr>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19,723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November 15, 2022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1" w:lineRule="exact"/>
        <w:rPr>
          <w:rFonts w:ascii="Times New Roman" w:cs="Times New Roman" w:eastAsia="Times New Roman" w:hAnsi="Times New Roman"/>
          <w:sz w:val="16"/>
          <w:szCs w:val="16"/>
          <w:color w:val="auto"/>
        </w:rPr>
      </w:pPr>
    </w:p>
    <w:p>
      <w:pPr>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November 15, 2022.</w:t>
      </w:r>
    </w:p>
    <w:p>
      <w:pPr>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19,723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51,447 shares of Class A Common Stock that are issuable upon exercise of stock options which are currently exercisable and 25,000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117,722 shares of Class A Common Stock from settlement of RSUs, 781,350 shares of Class A Common Stock that are issuable upon exercise of stock options that are currently exercisable or exercisable within 60 days of November 15, 2022 and 18,473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96,460 shares of Class A Common Stock that are issuable upon exercise of stock options which are currently exercisable or exercisable within 60 days of November 15, 2022 and 18,750 shares of Class A Common Stock issuable upon vesting of outstanding restricted stock units that vest within 60 days of November 15, 2022.</w:t>
      </w:r>
    </w:p>
    <w:p>
      <w:pPr>
        <w:jc w:val="both"/>
        <w:ind w:left="1020" w:right="619" w:hanging="414"/>
        <w:spacing w:after="0" w:line="254"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924,305 shares of Class A Common Stock that are issuable upon exercise of stock options which are currently exercisable or exercisable within 60 days of November 15, 2022 and 25,000 shares of Class A Common Stock issuable upon vesting of outstanding restricted stock units that vest within 60 days of November 15, 2022.</w:t>
      </w:r>
    </w:p>
    <w:p>
      <w:pPr>
        <w:jc w:val="both"/>
        <w:ind w:left="1020" w:right="619" w:hanging="414"/>
        <w:spacing w:after="0" w:line="259" w:lineRule="auto"/>
        <w:tabs>
          <w:tab w:leader="none" w:pos="101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ectPr>
          <w:pgSz w:w="11900" w:h="16838" w:orient="portrait"/>
          <w:cols w:equalWidth="0" w:num="1">
            <w:col w:w="9019"/>
          </w:cols>
          <w:pgMar w:left="1440" w:top="264"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6" w:name="page117"/>
    <w:bookmarkEnd w:id="1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w:cs="Times New Roman" w:eastAsia="Times New Roman" w:hAnsi="Times New Roman"/>
          <w:sz w:val="17"/>
          <w:szCs w:val="17"/>
          <w:i w:val="1"/>
          <w:iCs w:val="1"/>
          <w:color w:val="auto"/>
        </w:rPr>
        <w:t>Committed Equity Financing</w:t>
      </w:r>
      <w:r>
        <w:rPr>
          <w:rFonts w:ascii="Times New Roman" w:cs="Times New Roman" w:eastAsia="Times New Roman" w:hAnsi="Times New Roman"/>
          <w:sz w:val="17"/>
          <w:szCs w:val="17"/>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in this prospectus, the Holder has not had any material relationship with us or any of our affiliates within the past three years. All of the data in the following table is as of November 15, 2022.</w:t>
      </w:r>
    </w:p>
    <w:p>
      <w:pPr>
        <w:spacing w:after="0" w:line="11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157,517,926 shares of our Class A Common Stock outstanding as of November 15, 2022.</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34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Class A Common</w:t>
            </w:r>
          </w:p>
        </w:tc>
        <w:tc>
          <w:tcPr>
            <w:tcW w:w="80" w:type="dxa"/>
            <w:vAlign w:val="bottom"/>
          </w:tcPr>
          <w:p>
            <w:pPr>
              <w:spacing w:after="0"/>
              <w:rPr>
                <w:sz w:val="16"/>
                <w:szCs w:val="16"/>
                <w:color w:val="auto"/>
              </w:rPr>
            </w:pP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Maximum Number of</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Class A Common Stock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 Common</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Stock to be Offered</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Pursuant to this</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8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Percent</w:t>
            </w:r>
            <w:r>
              <w:rPr>
                <w:rFonts w:ascii="Times New Roman" w:cs="Times New Roman" w:eastAsia="Times New Roman" w:hAnsi="Times New Roman"/>
                <w:sz w:val="18"/>
                <w:szCs w:val="18"/>
                <w:b w:val="1"/>
                <w:bCs w:val="1"/>
                <w:color w:val="auto"/>
                <w:w w:val="99"/>
                <w:vertAlign w:val="superscript"/>
              </w:rPr>
              <w:t>(2)</w:t>
            </w:r>
          </w:p>
        </w:tc>
        <w:tc>
          <w:tcPr>
            <w:tcW w:w="8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(3)</w:t>
            </w:r>
          </w:p>
        </w:tc>
        <w:tc>
          <w:tcPr>
            <w:tcW w:w="8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CF Principal Investments LLC</w:t>
            </w:r>
            <w:r>
              <w:rPr>
                <w:rFonts w:ascii="Times New Roman" w:cs="Times New Roman" w:eastAsia="Times New Roman" w:hAnsi="Times New Roman"/>
                <w:sz w:val="20"/>
                <w:szCs w:val="20"/>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25,250,000</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jc w:val="both"/>
        <w:ind w:left="1020" w:right="619" w:hanging="414"/>
        <w:spacing w:after="0" w:line="296"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prior to this offering is as of November 15, 2022.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159" w:lineRule="exact"/>
        <w:rPr>
          <w:rFonts w:ascii="Times New Roman" w:cs="Times New Roman" w:eastAsia="Times New Roman" w:hAnsi="Times New Roman"/>
          <w:sz w:val="14"/>
          <w:szCs w:val="14"/>
          <w:color w:val="auto"/>
        </w:rPr>
      </w:pPr>
    </w:p>
    <w:p>
      <w:pPr>
        <w:ind w:left="1020" w:right="619" w:hanging="414"/>
        <w:spacing w:after="0" w:line="254"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percentage ownership is based on 157,517,926 shares of Class A Common Stock as of November 15, 2022.</w:t>
      </w:r>
    </w:p>
    <w:p>
      <w:pPr>
        <w:ind w:left="1020" w:hanging="414"/>
        <w:spacing w:after="0"/>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Class A Common Stock being offered pursuant to this prospectus.</w:t>
      </w:r>
    </w:p>
    <w:p>
      <w:pPr>
        <w:spacing w:after="0" w:line="10" w:lineRule="exact"/>
        <w:rPr>
          <w:rFonts w:ascii="Times New Roman" w:cs="Times New Roman" w:eastAsia="Times New Roman" w:hAnsi="Times New Roman"/>
          <w:sz w:val="16"/>
          <w:szCs w:val="16"/>
          <w:color w:val="auto"/>
        </w:rPr>
      </w:pPr>
    </w:p>
    <w:p>
      <w:pPr>
        <w:jc w:val="both"/>
        <w:ind w:left="1020" w:right="619" w:hanging="414"/>
        <w:spacing w:after="0" w:line="252"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New York, NY 10022.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7" w:name="page118"/>
    <w:bookmarkEnd w:id="1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PLAN OF DISTRIBUTION (CONFLICT OF INTEREST)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are registering the resale by the Holder of 25,250,000 shares of our Class A Common Stock.</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0"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9" w:lineRule="exact"/>
        <w:rPr>
          <w:sz w:val="20"/>
          <w:szCs w:val="20"/>
          <w:color w:val="auto"/>
        </w:rPr>
      </w:pPr>
    </w:p>
    <w:p>
      <w:pPr>
        <w:ind w:left="1440" w:right="619" w:hanging="418"/>
        <w:spacing w:after="0" w:line="293" w:lineRule="auto"/>
        <w:tabs>
          <w:tab w:leader="none" w:pos="143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68"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 LLC;</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3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broker-dealers;</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42"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5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In addition, any shares that qualify for sale pursuant to Rule 144 may be sold under Rule 144 rather than pursuant to this prospectus.</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shares of our Class A Common Stock may be sold by the Holder under this prospectus.</w:t>
      </w:r>
    </w:p>
    <w:p>
      <w:pPr>
        <w:spacing w:after="0" w:line="6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Global Market on the trading day immediately prior to the True-Up Date), in the aggregate, are less than $1 Million, the Company will pay to the Holder the difference between $1 Million and the applicable net proceeds. Further, we also have agreed to reimburse Cantor up to $75,000 for the fees and disbursements of its counsel in connection with the transactions contemplated by the Purchase Agreement and in connection with the Holder’s ongoing due diligence review. Moreover, in accordance with FINRA Rule 5110, the 3.0% fixed discount to current market prices of our Common Stock reflected in the purchase prices payable by Holder for our Class A Shares that we may require it to purchase from us from time to time under the Purchase Agreement is deemed to be underwriting compensation in connection with sales of our Class A Shares by Holder to the public.</w:t>
      </w:r>
    </w:p>
    <w:p>
      <w:pPr>
        <w:spacing w:after="0" w:line="12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 No Short-Selling or Hedging by Cantor</w:t>
      </w:r>
      <w:r>
        <w:rPr>
          <w:rFonts w:ascii="Times New Roman" w:cs="Times New Roman" w:eastAsia="Times New Roman" w:hAnsi="Times New Roman"/>
          <w:sz w:val="17"/>
          <w:szCs w:val="17"/>
          <w:color w:val="auto"/>
        </w:rPr>
        <w:t>.” The Holder may also enter into option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30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26"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05"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2"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9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which requires that a “qualified independent underwriter”, as defined in FINRA Rule 5121, participate in the preparation of the registration statement and exercise the usual standard of “due diligence” with respect to such document. In accordance with Rule 5121, Ladenburg Thalmann &amp; Co. Inc. (“Ladenburg”), a FINRA member, will act as the “qualified independent underwriter”, as defined in Rule 5121, for this offering. Ladenburg has participated in the preparation of the registration statement, of which this prospectus forms a part, including this prospectus, and has exercised its customary standards of due diligence with respect thereto. For its services as qualified independent underwriter, Ladenburg will receive a fee of $[______]. In accordance with FINRA Rule 5110, this fee is deemed underwriting compensation in connection</w:t>
      </w:r>
    </w:p>
    <w:p>
      <w:pPr>
        <w:spacing w:after="0" w:line="1" w:lineRule="exact"/>
        <w:rPr>
          <w:sz w:val="20"/>
          <w:szCs w:val="20"/>
          <w:color w:val="auto"/>
        </w:rPr>
      </w:pPr>
    </w:p>
    <w:p>
      <w:pPr>
        <w:jc w:val="both"/>
        <w:ind w:left="600" w:right="619"/>
        <w:spacing w:after="0" w:line="262" w:lineRule="auto"/>
        <w:rPr>
          <w:sz w:val="20"/>
          <w:szCs w:val="20"/>
          <w:color w:val="auto"/>
        </w:rPr>
      </w:pPr>
      <w:r>
        <w:rPr>
          <w:rFonts w:ascii="Times New Roman" w:cs="Times New Roman" w:eastAsia="Times New Roman" w:hAnsi="Times New Roman"/>
          <w:sz w:val="17"/>
          <w:szCs w:val="17"/>
          <w:color w:val="auto"/>
        </w:rPr>
        <w:t>with sales of the Class A Shares by the Holder to the public. In accordance with Rule 5121 CF&amp;CO is not permitted to sell the Class A Shares in this offering to an account over which it exercises discretionary authority without the prior specific written approval of the account holder.</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As of November 15, 2022,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There were 197,914,526 shares of Company common stock issued and outstanding as of November 15, 2022, which calculation includes 157,517,926 shares of the Company’s Class A Common Stock and 40,396,600 shares of the Company’s Class B Common Stock. In addition, there are 3,665,996 shares of Class A Common Stock issuable upon exercise of outstanding warrants, no shares of Class B Common Stock issuable upon exercise of outstanding warrants, 25,914,203 shares of Class A Common Stock issuable upon exercise of outstanding stock options, 14,468,722 shares of Class A Common Stock issuable upon vesting of restricted stock units and no shares of Class B Common Stock issuable upon exercise of outstanding stock options or restricted stock units.</w:t>
      </w:r>
    </w:p>
    <w:p>
      <w:pPr>
        <w:spacing w:after="0" w:line="3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November 15, 2022, we had outstanding options to purchase an aggregate 25,914,203 shares of our Class A Common Stock and 14,468,722 outstanding restricted stock units.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of November 15, 2022, 3,665,996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3" w:lineRule="exact"/>
        <w:rPr>
          <w:sz w:val="20"/>
          <w:szCs w:val="20"/>
          <w:color w:val="auto"/>
        </w:rPr>
      </w:pPr>
    </w:p>
    <w:p>
      <w:pPr>
        <w:jc w:val="both"/>
        <w:ind w:left="600" w:right="619" w:firstLine="6"/>
        <w:spacing w:after="0" w:line="256" w:lineRule="auto"/>
        <w:tabs>
          <w:tab w:leader="none" w:pos="85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8"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10" w:lineRule="exact"/>
        <w:rPr>
          <w:sz w:val="20"/>
          <w:szCs w:val="20"/>
          <w:color w:val="auto"/>
        </w:rPr>
      </w:pPr>
    </w:p>
    <w:p>
      <w:pPr>
        <w:jc w:val="both"/>
        <w:ind w:left="600" w:right="619" w:firstLine="416"/>
        <w:spacing w:after="0" w:line="266"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1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00" w:right="619" w:firstLine="416"/>
        <w:spacing w:after="0" w:line="246"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18"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2" w:lineRule="exact"/>
        <w:rPr>
          <w:sz w:val="20"/>
          <w:szCs w:val="20"/>
          <w:color w:val="auto"/>
        </w:rPr>
      </w:pPr>
    </w:p>
    <w:p>
      <w:pPr>
        <w:jc w:val="both"/>
        <w:ind w:left="600" w:right="619" w:firstLine="6"/>
        <w:spacing w:after="0" w:line="255" w:lineRule="auto"/>
        <w:tabs>
          <w:tab w:leader="none" w:pos="80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2" w:lineRule="exact"/>
        <w:rPr>
          <w:rFonts w:ascii="Times New Roman" w:cs="Times New Roman" w:eastAsia="Times New Roman" w:hAnsi="Times New Roman"/>
          <w:sz w:val="17"/>
          <w:szCs w:val="17"/>
          <w:color w:val="auto"/>
        </w:rPr>
      </w:pPr>
    </w:p>
    <w:p>
      <w:pPr>
        <w:jc w:val="both"/>
        <w:ind w:left="60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w:t>
      </w:r>
    </w:p>
    <w:p>
      <w:pPr>
        <w:spacing w:after="0" w:line="3" w:lineRule="exact"/>
        <w:rPr>
          <w:sz w:val="20"/>
          <w:szCs w:val="20"/>
          <w:color w:val="auto"/>
        </w:rPr>
      </w:pPr>
    </w:p>
    <w:p>
      <w:pPr>
        <w:jc w:val="both"/>
        <w:ind w:left="600" w:right="619" w:firstLine="6"/>
        <w:spacing w:after="0" w:line="256" w:lineRule="auto"/>
        <w:tabs>
          <w:tab w:leader="none" w:pos="95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57"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Our Class A Common Stock and Warrants are listed on The Nasdaq Global Market under the trading symbols “SOUN” and “SOUNW”.</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jc w:val="both"/>
        <w:ind w:left="600" w:right="619" w:firstLine="416"/>
        <w:spacing w:after="0" w:line="366"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5" w:name="page126"/>
    <w:bookmarkEnd w:id="1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2" w:lineRule="exact"/>
        <w:rPr>
          <w:sz w:val="20"/>
          <w:szCs w:val="20"/>
          <w:color w:val="auto"/>
        </w:rPr>
      </w:pPr>
    </w:p>
    <w:p>
      <w:pPr>
        <w:ind w:left="1440" w:hanging="418"/>
        <w:spacing w:after="0"/>
        <w:tabs>
          <w:tab w:leader="none" w:pos="1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7" w:lineRule="exact"/>
        <w:rPr>
          <w:sz w:val="20"/>
          <w:szCs w:val="20"/>
          <w:color w:val="auto"/>
        </w:rPr>
      </w:pPr>
    </w:p>
    <w:p>
      <w:pPr>
        <w:ind w:left="1440" w:hanging="418"/>
        <w:spacing w:after="0"/>
        <w:tabs>
          <w:tab w:leader="none" w:pos="1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8"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18"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60" w:type="dxa"/>
            <w:vAlign w:val="bottom"/>
            <w:tcBorders>
              <w:bottom w:val="single" w:sz="8" w:color="CCEEFF"/>
            </w:tcBorders>
          </w:tcPr>
          <w:p>
            <w:pPr>
              <w:spacing w:after="0"/>
              <w:rPr>
                <w:sz w:val="7"/>
                <w:szCs w:val="7"/>
                <w:color w:val="auto"/>
              </w:rPr>
            </w:pPr>
          </w:p>
        </w:tc>
        <w:tc>
          <w:tcPr>
            <w:tcW w:w="190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00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02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Borders>
              <w:bottom w:val="single" w:sz="8" w:color="0000EE"/>
            </w:tcBorders>
          </w:tcPr>
          <w:p>
            <w:pPr>
              <w:spacing w:after="0"/>
              <w:rPr>
                <w:sz w:val="21"/>
                <w:szCs w:val="21"/>
                <w:color w:val="auto"/>
              </w:rPr>
            </w:pPr>
          </w:p>
        </w:tc>
        <w:tc>
          <w:tcPr>
            <w:tcW w:w="3440" w:type="dxa"/>
            <w:vAlign w:val="bottom"/>
            <w:tcBorders>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0000EE"/>
              </w:rPr>
              <w:t>Balance Sheet as of December 31, 2021 and 2020</w:t>
            </w:r>
          </w:p>
        </w:tc>
        <w:tc>
          <w:tcPr>
            <w:tcW w:w="3560" w:type="dxa"/>
            <w:vAlign w:val="bottom"/>
            <w:tcBorders>
              <w:bottom w:val="single" w:sz="8" w:color="CCEEFF"/>
            </w:tcBorders>
            <w:gridSpan w:val="8"/>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00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periods from September 15, 2020 (inception) through</w:t>
            </w:r>
          </w:p>
        </w:tc>
        <w:tc>
          <w:tcPr>
            <w:tcW w:w="100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for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00" w:type="dxa"/>
            <w:vAlign w:val="bottom"/>
            <w:gridSpan w:val="11"/>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 of Changes in Stockholders’ Equity for the periods from September 15, 2020 (inception)</w:t>
            </w: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6860" w:type="dxa"/>
            <w:vAlign w:val="bottom"/>
            <w:tcBorders>
              <w:top w:val="single" w:sz="8" w:color="0000EE"/>
            </w:tcBorders>
            <w:gridSpan w:val="10"/>
            <w:shd w:val="clear" w:color="auto" w:fill="CCEEFF"/>
          </w:tcPr>
          <w:p>
            <w:pPr>
              <w:ind w:left="160"/>
              <w:spacing w:after="0" w:line="188" w:lineRule="exact"/>
              <w:rPr>
                <w:sz w:val="20"/>
                <w:szCs w:val="20"/>
                <w:color w:val="auto"/>
              </w:rPr>
            </w:pPr>
            <w:r>
              <w:rPr>
                <w:rFonts w:ascii="Times New Roman" w:cs="Times New Roman" w:eastAsia="Times New Roman" w:hAnsi="Times New Roman"/>
                <w:sz w:val="17"/>
                <w:szCs w:val="17"/>
                <w:color w:val="0000EE"/>
              </w:rPr>
              <w:t>through December 31, 2020 and the year ended December 31, 2021</w:t>
            </w:r>
          </w:p>
        </w:tc>
        <w:tc>
          <w:tcPr>
            <w:tcW w:w="14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5980" w:type="dxa"/>
            <w:vAlign w:val="bottom"/>
            <w:tcBorders>
              <w:bottom w:val="single" w:sz="8" w:color="0000EE"/>
            </w:tcBorders>
            <w:gridSpan w:val="8"/>
          </w:tcPr>
          <w:p>
            <w:pPr>
              <w:spacing w:after="0" w:line="169" w:lineRule="exact"/>
              <w:rPr>
                <w:sz w:val="20"/>
                <w:szCs w:val="20"/>
                <w:color w:val="auto"/>
              </w:rPr>
            </w:pPr>
            <w:r>
              <w:rPr>
                <w:rFonts w:ascii="Times New Roman" w:cs="Times New Roman" w:eastAsia="Times New Roman" w:hAnsi="Times New Roman"/>
                <w:sz w:val="17"/>
                <w:szCs w:val="17"/>
                <w:color w:val="0000EE"/>
              </w:rPr>
              <w:t>Statement of Cash Flows for the periods from September 15, 2020 (inception) through</w:t>
            </w:r>
          </w:p>
        </w:tc>
        <w:tc>
          <w:tcPr>
            <w:tcW w:w="102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0" w:type="dxa"/>
            <w:vAlign w:val="bottom"/>
            <w:gridSpan w:val="11"/>
          </w:tcPr>
          <w:p>
            <w:pPr>
              <w:ind w:left="160"/>
              <w:spacing w:after="0" w:line="188" w:lineRule="exact"/>
              <w:rPr>
                <w:sz w:val="20"/>
                <w:szCs w:val="20"/>
                <w:color w:val="auto"/>
              </w:rPr>
            </w:pPr>
            <w:r>
              <w:rPr>
                <w:rFonts w:ascii="Times New Roman" w:cs="Times New Roman" w:eastAsia="Times New Roman" w:hAnsi="Times New Roman"/>
                <w:sz w:val="17"/>
                <w:szCs w:val="17"/>
                <w:color w:val="0000EE"/>
              </w:rPr>
              <w:t>December 31, 2020 and the year ended December 31, 2021</w:t>
            </w: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Notes to Financial Statements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Condensed Balance Sheets as of March 31, 2022 (unaudited) and December 31, 2021</w:t>
      </w:r>
    </w:p>
    <w:p>
      <w:pPr>
        <w:spacing w:after="0" w:line="77" w:lineRule="exact"/>
        <w:rPr>
          <w:sz w:val="20"/>
          <w:szCs w:val="20"/>
          <w:color w:val="auto"/>
        </w:rPr>
      </w:pPr>
    </w:p>
    <w:p>
      <w:pPr>
        <w:ind w:left="780" w:right="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78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Changes in Stockholders’ Equity for the three months ended March 31, 2022 and 2021</w:t>
      </w:r>
    </w:p>
    <w:p>
      <w:pPr>
        <w:ind w:left="780" w:right="100" w:hanging="172"/>
        <w:spacing w:after="0" w:line="279" w:lineRule="auto"/>
        <w:rPr>
          <w:sz w:val="20"/>
          <w:szCs w:val="20"/>
          <w:color w:val="auto"/>
        </w:rPr>
      </w:pPr>
      <w:r>
        <w:rPr>
          <w:rFonts w:ascii="Times New Roman" w:cs="Times New Roman" w:eastAsia="Times New Roman" w:hAnsi="Times New Roman"/>
          <w:sz w:val="17"/>
          <w:szCs w:val="17"/>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7"/>
          <w:szCs w:val="17"/>
          <w:u w:val="single" w:color="auto"/>
          <w:color w:val="0000EE"/>
        </w:rPr>
        <w:t>Notes to Unaudited Condensed Financial Statements</w:t>
      </w:r>
    </w:p>
    <w:p>
      <w:pPr>
        <w:spacing w:after="0" w:line="28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-110490</wp:posOffset>
            </wp:positionV>
            <wp:extent cx="4951095" cy="1733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F-27</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912" w:lineRule="exact"/>
        <w:rPr>
          <w:sz w:val="20"/>
          <w:szCs w:val="20"/>
          <w:color w:val="auto"/>
        </w:rPr>
      </w:pPr>
    </w:p>
    <w:p>
      <w:pPr>
        <w:sectPr>
          <w:pgSz w:w="11900" w:h="16838" w:orient="portrait"/>
          <w:cols w:equalWidth="0" w:num="2">
            <w:col w:w="7360" w:space="480"/>
            <w:col w:w="117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195"/>
        </w:trPr>
        <w:tc>
          <w:tcPr>
            <w:tcW w:w="706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F-46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F-47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0000EE"/>
            </w:tcBorders>
            <w:shd w:val="clear" w:color="auto" w:fill="CCEEFF"/>
          </w:tcPr>
          <w:p>
            <w:pPr>
              <w:spacing w:after="0"/>
              <w:rPr>
                <w:sz w:val="7"/>
                <w:szCs w:val="7"/>
                <w:color w:val="auto"/>
              </w:rPr>
            </w:pPr>
          </w:p>
        </w:tc>
        <w:tc>
          <w:tcPr>
            <w:tcW w:w="260" w:type="dxa"/>
            <w:vAlign w:val="bottom"/>
            <w:tcBorders>
              <w:top w:val="single" w:sz="8" w:color="0000EE"/>
            </w:tcBorders>
            <w:shd w:val="clear" w:color="auto" w:fill="CCEEFF"/>
          </w:tcPr>
          <w:p>
            <w:pPr>
              <w:spacing w:after="0"/>
              <w:rPr>
                <w:sz w:val="7"/>
                <w:szCs w:val="7"/>
                <w:color w:val="auto"/>
              </w:rPr>
            </w:pPr>
          </w:p>
        </w:tc>
        <w:tc>
          <w:tcPr>
            <w:tcW w:w="320" w:type="dxa"/>
            <w:vAlign w:val="bottom"/>
            <w:tcBorders>
              <w:top w:val="single" w:sz="8" w:color="0000EE"/>
            </w:tcBorders>
            <w:shd w:val="clear" w:color="auto" w:fill="CCEEFF"/>
          </w:tcPr>
          <w:p>
            <w:pPr>
              <w:spacing w:after="0"/>
              <w:rPr>
                <w:sz w:val="7"/>
                <w:szCs w:val="7"/>
                <w:color w:val="auto"/>
              </w:rPr>
            </w:pPr>
          </w:p>
        </w:tc>
        <w:tc>
          <w:tcPr>
            <w:tcW w:w="220" w:type="dxa"/>
            <w:vAlign w:val="bottom"/>
            <w:tcBorders>
              <w:top w:val="single" w:sz="8" w:color="0000EE"/>
            </w:tcBorders>
            <w:shd w:val="clear" w:color="auto" w:fill="CCEEFF"/>
          </w:tcPr>
          <w:p>
            <w:pPr>
              <w:spacing w:after="0"/>
              <w:rPr>
                <w:sz w:val="7"/>
                <w:szCs w:val="7"/>
                <w:color w:val="auto"/>
              </w:rPr>
            </w:pPr>
          </w:p>
        </w:tc>
        <w:tc>
          <w:tcPr>
            <w:tcW w:w="11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40" w:type="dxa"/>
            <w:vAlign w:val="bottom"/>
            <w:tcBorders>
              <w:top w:val="single" w:sz="8" w:color="0000EE"/>
            </w:tcBorders>
            <w:shd w:val="clear" w:color="auto" w:fill="CCEEFF"/>
          </w:tcPr>
          <w:p>
            <w:pPr>
              <w:spacing w:after="0"/>
              <w:rPr>
                <w:sz w:val="7"/>
                <w:szCs w:val="7"/>
                <w:color w:val="auto"/>
              </w:rPr>
            </w:pPr>
          </w:p>
        </w:tc>
        <w:tc>
          <w:tcPr>
            <w:tcW w:w="20" w:type="dxa"/>
            <w:vAlign w:val="bottom"/>
            <w:tcBorders>
              <w:top w:val="single" w:sz="8" w:color="0000EE"/>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740" w:type="dxa"/>
            <w:vAlign w:val="bottom"/>
          </w:tcPr>
          <w:p>
            <w:pPr>
              <w:ind w:left="180"/>
              <w:spacing w:after="0" w:line="169" w:lineRule="exact"/>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160" w:type="dxa"/>
            <w:vAlign w:val="bottom"/>
            <w:tcBorders>
              <w:top w:val="single" w:sz="8" w:color="0000EE"/>
            </w:tcBorders>
          </w:tcPr>
          <w:p>
            <w:pPr>
              <w:spacing w:after="0"/>
              <w:rPr>
                <w:sz w:val="7"/>
                <w:szCs w:val="7"/>
                <w:color w:val="auto"/>
              </w:rPr>
            </w:pPr>
          </w:p>
        </w:tc>
        <w:tc>
          <w:tcPr>
            <w:tcW w:w="340" w:type="dxa"/>
            <w:vAlign w:val="bottom"/>
            <w:tcBorders>
              <w:top w:val="single" w:sz="8" w:color="0000EE"/>
            </w:tcBorders>
          </w:tcPr>
          <w:p>
            <w:pPr>
              <w:spacing w:after="0"/>
              <w:rPr>
                <w:sz w:val="7"/>
                <w:szCs w:val="7"/>
                <w:color w:val="auto"/>
              </w:rPr>
            </w:pPr>
          </w:p>
        </w:tc>
        <w:tc>
          <w:tcPr>
            <w:tcW w:w="300" w:type="dxa"/>
            <w:vAlign w:val="bottom"/>
            <w:tcBorders>
              <w:top w:val="single" w:sz="8" w:color="0000EE"/>
            </w:tcBorders>
          </w:tcPr>
          <w:p>
            <w:pPr>
              <w:spacing w:after="0"/>
              <w:rPr>
                <w:sz w:val="7"/>
                <w:szCs w:val="7"/>
                <w:color w:val="auto"/>
              </w:rPr>
            </w:pPr>
          </w:p>
        </w:tc>
        <w:tc>
          <w:tcPr>
            <w:tcW w:w="1260" w:type="dxa"/>
            <w:vAlign w:val="bottom"/>
            <w:tcBorders>
              <w:top w:val="single" w:sz="8" w:color="0000EE"/>
            </w:tcBorders>
          </w:tcPr>
          <w:p>
            <w:pPr>
              <w:spacing w:after="0"/>
              <w:rPr>
                <w:sz w:val="7"/>
                <w:szCs w:val="7"/>
                <w:color w:val="auto"/>
              </w:rPr>
            </w:pPr>
          </w:p>
        </w:tc>
        <w:tc>
          <w:tcPr>
            <w:tcW w:w="1180" w:type="dxa"/>
            <w:vAlign w:val="bottom"/>
            <w:tcBorders>
              <w:top w:val="single" w:sz="8" w:color="0000EE"/>
            </w:tcBorders>
          </w:tcPr>
          <w:p>
            <w:pPr>
              <w:spacing w:after="0"/>
              <w:rPr>
                <w:sz w:val="7"/>
                <w:szCs w:val="7"/>
                <w:color w:val="auto"/>
              </w:rPr>
            </w:pPr>
          </w:p>
        </w:tc>
        <w:tc>
          <w:tcPr>
            <w:tcW w:w="260" w:type="dxa"/>
            <w:vAlign w:val="bottom"/>
            <w:tcBorders>
              <w:top w:val="single" w:sz="8" w:color="0000EE"/>
            </w:tcBorders>
          </w:tcPr>
          <w:p>
            <w:pPr>
              <w:spacing w:after="0"/>
              <w:rPr>
                <w:sz w:val="7"/>
                <w:szCs w:val="7"/>
                <w:color w:val="auto"/>
              </w:rPr>
            </w:pPr>
          </w:p>
        </w:tc>
        <w:tc>
          <w:tcPr>
            <w:tcW w:w="320" w:type="dxa"/>
            <w:vAlign w:val="bottom"/>
            <w:tcBorders>
              <w:top w:val="single" w:sz="8" w:color="0000EE"/>
            </w:tcBorders>
          </w:tcPr>
          <w:p>
            <w:pPr>
              <w:spacing w:after="0"/>
              <w:rPr>
                <w:sz w:val="7"/>
                <w:szCs w:val="7"/>
                <w:color w:val="auto"/>
              </w:rPr>
            </w:pPr>
          </w:p>
        </w:tc>
        <w:tc>
          <w:tcPr>
            <w:tcW w:w="22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740" w:type="dxa"/>
            <w:vAlign w:val="bottom"/>
            <w:shd w:val="clear" w:color="auto" w:fill="CCEEFF"/>
          </w:tcPr>
          <w:p>
            <w:pPr>
              <w:ind w:left="180"/>
              <w:spacing w:after="0" w:line="169" w:lineRule="exact"/>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160" w:type="dxa"/>
            <w:vAlign w:val="bottom"/>
            <w:tcBorders>
              <w:top w:val="single" w:sz="8" w:color="0000EE"/>
            </w:tcBorders>
            <w:shd w:val="clear" w:color="auto" w:fill="CCEEFF"/>
          </w:tcPr>
          <w:p>
            <w:pPr>
              <w:spacing w:after="0"/>
              <w:rPr>
                <w:sz w:val="7"/>
                <w:szCs w:val="7"/>
                <w:color w:val="auto"/>
              </w:rPr>
            </w:pPr>
          </w:p>
        </w:tc>
        <w:tc>
          <w:tcPr>
            <w:tcW w:w="340" w:type="dxa"/>
            <w:vAlign w:val="bottom"/>
            <w:tcBorders>
              <w:top w:val="single" w:sz="8" w:color="0000EE"/>
            </w:tcBorders>
            <w:shd w:val="clear" w:color="auto" w:fill="CCEEFF"/>
          </w:tcPr>
          <w:p>
            <w:pPr>
              <w:spacing w:after="0"/>
              <w:rPr>
                <w:sz w:val="7"/>
                <w:szCs w:val="7"/>
                <w:color w:val="auto"/>
              </w:rPr>
            </w:pPr>
          </w:p>
        </w:tc>
        <w:tc>
          <w:tcPr>
            <w:tcW w:w="300" w:type="dxa"/>
            <w:vAlign w:val="bottom"/>
            <w:tcBorders>
              <w:top w:val="single" w:sz="8" w:color="0000EE"/>
            </w:tcBorders>
            <w:shd w:val="clear" w:color="auto" w:fill="CCEEFF"/>
          </w:tcPr>
          <w:p>
            <w:pPr>
              <w:spacing w:after="0"/>
              <w:rPr>
                <w:sz w:val="7"/>
                <w:szCs w:val="7"/>
                <w:color w:val="auto"/>
              </w:rPr>
            </w:pPr>
          </w:p>
        </w:tc>
        <w:tc>
          <w:tcPr>
            <w:tcW w:w="1260" w:type="dxa"/>
            <w:vAlign w:val="bottom"/>
            <w:tcBorders>
              <w:top w:val="single" w:sz="8" w:color="0000EE"/>
            </w:tcBorders>
            <w:shd w:val="clear" w:color="auto" w:fill="CCEEFF"/>
          </w:tcPr>
          <w:p>
            <w:pPr>
              <w:spacing w:after="0"/>
              <w:rPr>
                <w:sz w:val="7"/>
                <w:szCs w:val="7"/>
                <w:color w:val="auto"/>
              </w:rPr>
            </w:pPr>
          </w:p>
        </w:tc>
        <w:tc>
          <w:tcPr>
            <w:tcW w:w="11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1"/>
                <w:szCs w:val="21"/>
                <w:color w:val="auto"/>
              </w:rPr>
            </w:pPr>
          </w:p>
        </w:tc>
        <w:tc>
          <w:tcPr>
            <w:tcW w:w="7040" w:type="dxa"/>
            <w:vAlign w:val="bottom"/>
            <w:tcBorders>
              <w:bottom w:val="single" w:sz="8" w:color="CCEEFF"/>
            </w:tcBorders>
            <w:gridSpan w:val="17"/>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Balance Sheets as of September 30, 2022 (unaudited) and December 31,</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 w:type="dxa"/>
            <w:vAlign w:val="bottom"/>
            <w:tcBorders>
              <w:top w:val="single" w:sz="8" w:color="0000EE"/>
            </w:tcBorders>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Borders>
              <w:top w:val="single" w:sz="8" w:color="0000EE"/>
            </w:tcBorders>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F-87</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Operations and Comprehensive Loss for the three and nine</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shd w:val="clear" w:color="auto" w:fill="CCEEFF"/>
          </w:tcPr>
          <w:p>
            <w:pPr>
              <w:spacing w:after="0"/>
              <w:rPr>
                <w:sz w:val="16"/>
                <w:szCs w:val="16"/>
                <w:color w:val="auto"/>
              </w:rPr>
            </w:pPr>
          </w:p>
        </w:tc>
        <w:tc>
          <w:tcPr>
            <w:tcW w:w="6660" w:type="dxa"/>
            <w:vAlign w:val="bottom"/>
            <w:tcBorders>
              <w:top w:val="single" w:sz="8" w:color="0000EE"/>
            </w:tcBorders>
            <w:gridSpan w:val="14"/>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months ended September 30, 2022 and 2021</w:t>
            </w:r>
          </w:p>
        </w:tc>
        <w:tc>
          <w:tcPr>
            <w:tcW w:w="220" w:type="dxa"/>
            <w:vAlign w:val="bottom"/>
            <w:tcBorders>
              <w:top w:val="single" w:sz="8" w:color="CCEEFF"/>
            </w:tcBorders>
            <w:gridSpan w:val="2"/>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F-88</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1260" w:type="dxa"/>
            <w:vAlign w:val="bottom"/>
            <w:tcBorders>
              <w:top w:val="single" w:sz="8" w:color="0000EE"/>
            </w:tcBorders>
            <w:shd w:val="clear" w:color="auto" w:fill="CCEEFF"/>
          </w:tcPr>
          <w:p>
            <w:pPr>
              <w:spacing w:after="0"/>
              <w:rPr>
                <w:sz w:val="5"/>
                <w:szCs w:val="5"/>
                <w:color w:val="auto"/>
              </w:rPr>
            </w:pPr>
          </w:p>
        </w:tc>
        <w:tc>
          <w:tcPr>
            <w:tcW w:w="118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Redeemable Convertible Preferred Stock and</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20" w:type="dxa"/>
            <w:vAlign w:val="bottom"/>
            <w:gridSpan w:val="4"/>
            <w:shd w:val="clear" w:color="auto" w:fill="0000EE"/>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80" w:type="dxa"/>
            <w:vAlign w:val="bottom"/>
            <w:gridSpan w:val="16"/>
          </w:tcPr>
          <w:p>
            <w:pPr>
              <w:spacing w:after="0" w:line="188" w:lineRule="exact"/>
              <w:rPr>
                <w:sz w:val="20"/>
                <w:szCs w:val="20"/>
                <w:color w:val="auto"/>
              </w:rPr>
            </w:pPr>
            <w:r>
              <w:rPr>
                <w:rFonts w:ascii="Times New Roman" w:cs="Times New Roman" w:eastAsia="Times New Roman" w:hAnsi="Times New Roman"/>
                <w:sz w:val="17"/>
                <w:szCs w:val="17"/>
                <w:color w:val="0000EE"/>
              </w:rPr>
              <w:t>Stockholders’ Equity (Deficit) for the three and nine months ended September 30, 2022 and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gridSpan w:val="2"/>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0" w:type="dxa"/>
            <w:vAlign w:val="bottom"/>
            <w:gridSpan w:val="3"/>
          </w:tcPr>
          <w:p>
            <w:pPr>
              <w:ind w:left="180"/>
              <w:spacing w:after="0" w:line="188" w:lineRule="exact"/>
              <w:rPr>
                <w:sz w:val="20"/>
                <w:szCs w:val="20"/>
                <w:color w:val="auto"/>
              </w:rPr>
            </w:pPr>
            <w:r>
              <w:rPr>
                <w:rFonts w:ascii="Times New Roman" w:cs="Times New Roman" w:eastAsia="Times New Roman" w:hAnsi="Times New Roman"/>
                <w:sz w:val="17"/>
                <w:szCs w:val="17"/>
                <w:color w:val="0000EE"/>
                <w:w w:val="93"/>
              </w:rPr>
              <w:t>2021</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80"/>
              <w:spacing w:after="0" w:line="188" w:lineRule="exact"/>
              <w:rPr>
                <w:sz w:val="20"/>
                <w:szCs w:val="20"/>
                <w:color w:val="auto"/>
              </w:rPr>
            </w:pPr>
            <w:r>
              <w:rPr>
                <w:rFonts w:ascii="Times New Roman" w:cs="Times New Roman" w:eastAsia="Times New Roman" w:hAnsi="Times New Roman"/>
                <w:sz w:val="17"/>
                <w:szCs w:val="17"/>
                <w:color w:val="auto"/>
              </w:rPr>
              <w:t>F-89</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3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7040" w:type="dxa"/>
            <w:vAlign w:val="bottom"/>
            <w:gridSpan w:val="17"/>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nine months ended September 30, 2022</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bottom w:val="single" w:sz="8" w:color="CCEEFF"/>
            </w:tcBorders>
            <w:shd w:val="clear" w:color="auto" w:fill="CCEEFF"/>
          </w:tcPr>
          <w:p>
            <w:pPr>
              <w:spacing w:after="0"/>
              <w:rPr>
                <w:sz w:val="21"/>
                <w:szCs w:val="21"/>
                <w:color w:val="auto"/>
              </w:rPr>
            </w:pPr>
          </w:p>
        </w:tc>
        <w:tc>
          <w:tcPr>
            <w:tcW w:w="640" w:type="dxa"/>
            <w:vAlign w:val="bottom"/>
            <w:tcBorders>
              <w:top w:val="single" w:sz="8" w:color="0000EE"/>
              <w:bottom w:val="single" w:sz="8" w:color="0000EE"/>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8"/>
              </w:rPr>
              <w:t>and 2021</w:t>
            </w:r>
          </w:p>
        </w:tc>
        <w:tc>
          <w:tcPr>
            <w:tcW w:w="6040" w:type="dxa"/>
            <w:vAlign w:val="bottom"/>
            <w:tcBorders>
              <w:top w:val="single" w:sz="8" w:color="0000EE"/>
              <w:bottom w:val="single" w:sz="8" w:color="CCEEFF"/>
            </w:tcBorders>
            <w:gridSpan w:val="13"/>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ind w:left="180"/>
              <w:spacing w:after="0" w:line="188" w:lineRule="exact"/>
              <w:rPr>
                <w:sz w:val="20"/>
                <w:szCs w:val="20"/>
                <w:color w:val="auto"/>
              </w:rPr>
            </w:pPr>
            <w:r>
              <w:rPr>
                <w:rFonts w:ascii="Times New Roman" w:cs="Times New Roman" w:eastAsia="Times New Roman" w:hAnsi="Times New Roman"/>
                <w:sz w:val="17"/>
                <w:szCs w:val="17"/>
                <w:color w:val="auto"/>
              </w:rPr>
              <w:t>F-92</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3820" w:type="dxa"/>
            <w:vAlign w:val="bottom"/>
            <w:tcBorders>
              <w:bottom w:val="single" w:sz="8" w:color="0000EE"/>
            </w:tcBorders>
            <w:gridSpan w:val="7"/>
          </w:tcPr>
          <w:p>
            <w:pPr>
              <w:spacing w:after="0" w:line="149" w:lineRule="exact"/>
              <w:rPr>
                <w:sz w:val="20"/>
                <w:szCs w:val="20"/>
                <w:color w:val="auto"/>
              </w:rPr>
            </w:pPr>
            <w:r>
              <w:rPr>
                <w:rFonts w:ascii="Times New Roman" w:cs="Times New Roman" w:eastAsia="Times New Roman" w:hAnsi="Times New Roman"/>
                <w:sz w:val="17"/>
                <w:szCs w:val="17"/>
                <w:color w:val="0000EE"/>
              </w:rPr>
              <w:t>Notes to Condensed Consolidated Financial Statements</w:t>
            </w:r>
          </w:p>
        </w:tc>
        <w:tc>
          <w:tcPr>
            <w:tcW w:w="3220" w:type="dxa"/>
            <w:vAlign w:val="bottom"/>
            <w:gridSpan w:val="10"/>
          </w:tcPr>
          <w:p>
            <w:pPr>
              <w:spacing w:after="0"/>
              <w:rPr>
                <w:sz w:val="14"/>
                <w:szCs w:val="14"/>
                <w:color w:val="auto"/>
              </w:rPr>
            </w:pPr>
          </w:p>
        </w:tc>
        <w:tc>
          <w:tcPr>
            <w:tcW w:w="740" w:type="dxa"/>
            <w:vAlign w:val="bottom"/>
          </w:tcPr>
          <w:p>
            <w:pPr>
              <w:ind w:left="180"/>
              <w:spacing w:after="0" w:line="162" w:lineRule="exact"/>
              <w:rPr>
                <w:sz w:val="20"/>
                <w:szCs w:val="20"/>
                <w:color w:val="auto"/>
              </w:rPr>
            </w:pPr>
            <w:r>
              <w:rPr>
                <w:rFonts w:ascii="Times New Roman" w:cs="Times New Roman" w:eastAsia="Times New Roman" w:hAnsi="Times New Roman"/>
                <w:sz w:val="17"/>
                <w:szCs w:val="17"/>
                <w:color w:val="auto"/>
              </w:rPr>
              <w:t>F-93</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7"/>
                <w:szCs w:val="17"/>
                <w:color w:val="auto"/>
              </w:rPr>
              <w:t>F-1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28" w:name="page129"/>
    <w:bookmarkEnd w:id="1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9" w:name="page130"/>
    <w:bookmarkEnd w:id="1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280" w:type="dxa"/>
            <w:vAlign w:val="bottom"/>
            <w:gridSpan w:val="2"/>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Period 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year ended</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interest income</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redemption</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 redemption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60" w:type="dxa"/>
            <w:vAlign w:val="bottom"/>
            <w:gridSpan w:val="2"/>
            <w:vMerge w:val="continue"/>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9"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3"/>
            <w:vMerge w:val="restart"/>
          </w:tcPr>
          <w:p>
            <w:pPr>
              <w:jc w:val="center"/>
              <w:ind w:right="12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7"/>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(716)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6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4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4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2" w:name="page133"/>
    <w:bookmarkEnd w:id="1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For the Period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24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60" w:type="dxa"/>
            <w:vAlign w:val="bottom"/>
            <w:gridSpan w:val="2"/>
            <w:vMerge w:val="continue"/>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18"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12"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0"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12"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591,387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116,095,120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5,004,068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5,000,003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3"/>
        </w:trPr>
        <w:tc>
          <w:tcPr>
            <w:tcW w:w="42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128,744,590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5,084,297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2,059,408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3,856,614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2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3,458</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1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115,841,700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12,902,890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18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38" w:name="page139"/>
    <w:bookmarkEnd w:id="1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0.06</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4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3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1,893,770</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430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39" w:name="page140"/>
    <w:bookmarkEnd w:id="1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9"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0" w:name="page141"/>
    <w:bookmarkEnd w:id="1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1"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35560</wp:posOffset>
            </wp:positionV>
            <wp:extent cx="4951095" cy="1733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621665</wp:posOffset>
            </wp:positionV>
            <wp:extent cx="4951095" cy="181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234315</wp:posOffset>
            </wp:positionV>
            <wp:extent cx="4951095" cy="1733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35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18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7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7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44450</wp:posOffset>
            </wp:positionV>
            <wp:extent cx="6769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35560</wp:posOffset>
            </wp:positionV>
            <wp:extent cx="151828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p>
      <w:pPr>
        <w:ind w:left="14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180"/>
        <w:spacing w:after="0"/>
        <w:tabs>
          <w:tab w:leader="none" w:pos="204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60" w:val="left"/>
          <w:tab w:leader="none" w:pos="146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52705</wp:posOffset>
            </wp:positionV>
            <wp:extent cx="14274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648" w:lineRule="exact"/>
        <w:rPr>
          <w:sz w:val="20"/>
          <w:szCs w:val="20"/>
          <w:color w:val="auto"/>
        </w:rPr>
      </w:pPr>
    </w:p>
    <w:p>
      <w:pPr>
        <w:sectPr>
          <w:pgSz w:w="11900" w:h="16838" w:orient="portrait"/>
          <w:cols w:equalWidth="0" w:num="2">
            <w:col w:w="5400" w:space="620"/>
            <w:col w:w="2999"/>
          </w:cols>
          <w:pgMar w:left="1440" w:top="264" w:right="1440" w:bottom="1440" w:gutter="0" w:footer="0" w:header="0"/>
          <w:type w:val="continuous"/>
        </w:sectPr>
      </w:pPr>
    </w:p>
    <w:tbl>
      <w:tblPr>
        <w:tblLayout w:type="fixed"/>
        <w:tblInd w:w="60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30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10,589,315</w:t>
            </w:r>
          </w:p>
        </w:tc>
        <w:tc>
          <w:tcPr>
            <w:tcW w:w="340" w:type="dxa"/>
            <w:vAlign w:val="bottom"/>
          </w:tcPr>
          <w:p>
            <w:pPr>
              <w:spacing w:after="0"/>
              <w:rPr>
                <w:sz w:val="19"/>
                <w:szCs w:val="19"/>
                <w:color w:val="auto"/>
              </w:rPr>
            </w:pP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60" w:type="dxa"/>
            <w:vAlign w:val="bottom"/>
            <w:gridSpan w:val="2"/>
          </w:tcPr>
          <w:p>
            <w:pPr>
              <w:spacing w:after="0"/>
              <w:rPr>
                <w:sz w:val="3"/>
                <w:szCs w:val="3"/>
                <w:color w:val="auto"/>
              </w:rPr>
            </w:pPr>
          </w:p>
        </w:tc>
        <w:tc>
          <w:tcPr>
            <w:tcW w:w="1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4"/>
        </w:trPr>
        <w:tc>
          <w:tcPr>
            <w:tcW w:w="20" w:type="dxa"/>
            <w:vAlign w:val="bottom"/>
          </w:tcPr>
          <w:p>
            <w:pPr>
              <w:spacing w:after="0"/>
              <w:rPr>
                <w:sz w:val="20"/>
                <w:szCs w:val="20"/>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0.28</w:t>
            </w:r>
          </w:p>
        </w:tc>
        <w:tc>
          <w:tcPr>
            <w:tcW w:w="3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20" w:type="dxa"/>
            <w:vAlign w:val="bottom"/>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2" w:name="page143"/>
    <w:bookmarkEnd w:id="1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3" w:name="page144"/>
    <w:bookmarkEnd w:id="1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5" w:name="page146"/>
    <w:bookmarkEnd w:id="1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Prices In Active</w:t>
            </w:r>
          </w:p>
        </w:tc>
        <w:tc>
          <w:tcPr>
            <w:tcW w:w="100" w:type="dxa"/>
            <w:vAlign w:val="bottom"/>
          </w:tcPr>
          <w:p>
            <w:pPr>
              <w:spacing w:after="0"/>
              <w:rPr>
                <w:sz w:val="16"/>
                <w:szCs w:val="16"/>
                <w:color w:val="auto"/>
              </w:rPr>
            </w:pPr>
          </w:p>
        </w:tc>
        <w:tc>
          <w:tcPr>
            <w:tcW w:w="90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42"/>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42"/>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rPr>
              <w:t>— $</w:t>
            </w: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F-19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46" w:name="page147"/>
    <w:bookmarkEnd w:id="1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Quoted Prices</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100" w:type="dxa"/>
            <w:vAlign w:val="bottom"/>
          </w:tcPr>
          <w:p>
            <w:pPr>
              <w:spacing w:after="0"/>
              <w:rPr>
                <w:sz w:val="16"/>
                <w:szCs w:val="16"/>
                <w:color w:val="auto"/>
              </w:rPr>
            </w:pPr>
          </w:p>
        </w:tc>
        <w:tc>
          <w:tcPr>
            <w:tcW w:w="900" w:type="dxa"/>
            <w:vAlign w:val="bottom"/>
          </w:tcPr>
          <w:p>
            <w:pPr>
              <w:jc w:val="center"/>
              <w:ind w:left="6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90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41"/>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ind w:right="74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8"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6"/>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47" w:name="page148"/>
    <w:bookmarkEnd w:id="1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600" w:type="dxa"/>
            <w:vAlign w:val="bottom"/>
            <w:gridSpan w:val="2"/>
            <w:vMerge w:val="continue"/>
          </w:tcPr>
          <w:p>
            <w:pPr>
              <w:spacing w:after="0"/>
              <w:rPr>
                <w:sz w:val="19"/>
                <w:szCs w:val="19"/>
                <w:color w:val="auto"/>
              </w:rPr>
            </w:pPr>
          </w:p>
        </w:tc>
        <w:tc>
          <w:tcPr>
            <w:tcW w:w="20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8" w:name="page149"/>
    <w:bookmarkEnd w:id="1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9" w:name="page150"/>
    <w:bookmarkEnd w:id="1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00" w:right="619" w:firstLine="416"/>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0"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5" w:lineRule="exact"/>
        <w:rPr>
          <w:sz w:val="20"/>
          <w:szCs w:val="20"/>
          <w:color w:val="auto"/>
        </w:rPr>
      </w:pPr>
    </w:p>
    <w:p>
      <w:pPr>
        <w:ind w:left="1440" w:hanging="418"/>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2"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0" w:name="page151"/>
    <w:bookmarkEnd w:id="1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70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70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(211,133)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00" w:type="dxa"/>
            <w:vAlign w:val="bottom"/>
            <w:gridSpan w:val="2"/>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1"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1" w:name="page152"/>
    <w:bookmarkEnd w:id="1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7"/>
        </w:trPr>
        <w:tc>
          <w:tcPr>
            <w:tcW w:w="6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4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6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issued and outstanding</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(1,368,050)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Ended</w:t>
            </w:r>
          </w:p>
        </w:tc>
      </w:tr>
      <w:tr>
        <w:trPr>
          <w:trHeight w:val="195"/>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9"/>
        </w:trPr>
        <w:tc>
          <w:tcPr>
            <w:tcW w:w="37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Pr>
          <w:p>
            <w:pPr>
              <w:spacing w:after="0"/>
              <w:rPr>
                <w:sz w:val="19"/>
                <w:szCs w:val="19"/>
                <w:color w:val="auto"/>
              </w:rPr>
            </w:pPr>
          </w:p>
        </w:tc>
      </w:tr>
      <w:tr>
        <w:trPr>
          <w:trHeight w:val="34"/>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3"/>
        </w:trPr>
        <w:tc>
          <w:tcPr>
            <w:tcW w:w="20" w:type="dxa"/>
            <w:vAlign w:val="bottom"/>
          </w:tcPr>
          <w:p>
            <w:pPr>
              <w:spacing w:after="0"/>
              <w:rPr>
                <w:sz w:val="23"/>
                <w:szCs w:val="23"/>
                <w:color w:val="auto"/>
              </w:rPr>
            </w:pPr>
          </w:p>
        </w:tc>
        <w:tc>
          <w:tcPr>
            <w:tcW w:w="37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264" w:right="1440" w:bottom="1440" w:gutter="0" w:footer="0" w:header="0"/>
        </w:sectPr>
      </w:pPr>
    </w:p>
    <w:p>
      <w:pPr>
        <w:jc w:val="right"/>
        <w:ind w:right="344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jc w:val="right"/>
        <w:ind w:right="346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00" w:right="940" w:firstLine="173"/>
        <w:spacing w:after="0" w:line="372"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-215900</wp:posOffset>
            </wp:positionV>
            <wp:extent cx="4951095" cy="1733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80"/>
        <w:spacing w:after="0"/>
        <w:tabs>
          <w:tab w:leader="none" w:pos="1560" w:val="left"/>
        </w:tabs>
        <w:rPr>
          <w:sz w:val="20"/>
          <w:szCs w:val="20"/>
          <w:color w:val="auto"/>
        </w:rPr>
      </w:pPr>
      <w:r>
        <w:rPr>
          <w:rFonts w:ascii="Times New Roman" w:cs="Times New Roman" w:eastAsia="Times New Roman" w:hAnsi="Times New Roman"/>
          <w:sz w:val="17"/>
          <w:szCs w:val="17"/>
          <w:color w:val="auto"/>
        </w:rPr>
        <w:t>11,857</w:t>
      </w:r>
      <w:r>
        <w:rPr>
          <w:sz w:val="20"/>
          <w:szCs w:val="20"/>
          <w:color w:val="auto"/>
        </w:rPr>
        <w:tab/>
      </w:r>
      <w:r>
        <w:rPr>
          <w:rFonts w:ascii="Times New Roman" w:cs="Times New Roman" w:eastAsia="Times New Roman" w:hAnsi="Times New Roman"/>
          <w:sz w:val="17"/>
          <w:szCs w:val="17"/>
          <w:color w:val="auto"/>
        </w:rPr>
        <w:t>525</w:t>
      </w:r>
    </w:p>
    <w:p>
      <w:pPr>
        <w:spacing w:after="0" w:line="77" w:lineRule="exact"/>
        <w:rPr>
          <w:sz w:val="20"/>
          <w:szCs w:val="20"/>
          <w:color w:val="auto"/>
        </w:rPr>
      </w:pPr>
    </w:p>
    <w:p>
      <w:pPr>
        <w:ind w:left="80"/>
        <w:spacing w:after="0"/>
        <w:tabs>
          <w:tab w:leader="none" w:pos="1380" w:val="left"/>
        </w:tabs>
        <w:rPr>
          <w:sz w:val="20"/>
          <w:szCs w:val="20"/>
          <w:color w:val="auto"/>
        </w:rPr>
      </w:pPr>
      <w:r>
        <w:rPr>
          <w:rFonts w:ascii="Times New Roman" w:cs="Times New Roman" w:eastAsia="Times New Roman" w:hAnsi="Times New Roman"/>
          <w:sz w:val="17"/>
          <w:szCs w:val="17"/>
          <w:color w:val="auto"/>
        </w:rPr>
        <w:t>92,746</w:t>
      </w:r>
      <w:r>
        <w:rPr>
          <w:sz w:val="20"/>
          <w:szCs w:val="20"/>
          <w:color w:val="auto"/>
        </w:rPr>
        <w:tab/>
      </w:r>
      <w:r>
        <w:rPr>
          <w:rFonts w:ascii="Times New Roman" w:cs="Times New Roman" w:eastAsia="Times New Roman" w:hAnsi="Times New Roman"/>
          <w:sz w:val="17"/>
          <w:szCs w:val="17"/>
          <w:color w:val="auto"/>
        </w:rPr>
        <w:t>(3,117)</w:t>
      </w:r>
    </w:p>
    <w:p>
      <w:pPr>
        <w:spacing w:after="0" w:line="77"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color w:val="auto"/>
        </w:rPr>
        <w:t>104,603</w:t>
      </w:r>
      <w:r>
        <w:rPr>
          <w:sz w:val="20"/>
          <w:szCs w:val="20"/>
          <w:color w:val="auto"/>
        </w:rPr>
        <w:tab/>
      </w:r>
      <w:r>
        <w:rPr>
          <w:rFonts w:ascii="Times New Roman" w:cs="Times New Roman" w:eastAsia="Times New Roman" w:hAnsi="Times New Roman"/>
          <w:sz w:val="17"/>
          <w:szCs w:val="17"/>
          <w:color w:val="auto"/>
        </w:rPr>
        <w:t>(2,592)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44450</wp:posOffset>
            </wp:positionV>
            <wp:extent cx="14274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337" w:lineRule="exact"/>
        <w:rPr>
          <w:sz w:val="20"/>
          <w:szCs w:val="20"/>
          <w:color w:val="auto"/>
        </w:rPr>
      </w:pPr>
    </w:p>
    <w:p>
      <w:pPr>
        <w:sectPr>
          <w:pgSz w:w="11900" w:h="16838" w:orient="portrait"/>
          <w:cols w:equalWidth="0" w:num="2">
            <w:col w:w="5700" w:space="720"/>
            <w:col w:w="2599"/>
          </w:cols>
          <w:pgMar w:left="1440" w:top="264" w:right="1440" w:bottom="1440" w:gutter="0" w:footer="0" w:header="0"/>
          <w:type w:val="continuous"/>
        </w:sectPr>
      </w:pPr>
    </w:p>
    <w:p>
      <w:pPr>
        <w:spacing w:after="0" w:line="18" w:lineRule="exact"/>
        <w:rPr>
          <w:sz w:val="20"/>
          <w:szCs w:val="20"/>
          <w:color w:val="auto"/>
        </w:rPr>
      </w:pPr>
    </w:p>
    <w:tbl>
      <w:tblPr>
        <w:tblLayout w:type="fixed"/>
        <w:tblInd w:w="60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3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2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subject to redemption</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(loss) income per share attributable to common</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3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4" w:name="page155"/>
    <w:bookmarkEnd w:id="1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pacing w:after="0" w:line="25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14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jc w:val="right"/>
              <w:ind w:right="60"/>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4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19"/>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 earned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280" w:type="dxa"/>
            <w:vAlign w:val="bottom"/>
            <w:shd w:val="clear" w:color="auto" w:fill="CCEEFF"/>
          </w:tcPr>
          <w:p>
            <w:pPr>
              <w:spacing w:after="0"/>
              <w:rPr>
                <w:sz w:val="22"/>
                <w:szCs w:val="22"/>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(1,368,050)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20"/>
              <w:spacing w:after="0" w:line="139"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spacing w:after="0" w:line="139"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center"/>
              <w:ind w:right="80"/>
              <w:spacing w:after="0" w:line="139"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Equity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tcPr>
          <w:p>
            <w:pPr>
              <w:spacing w:after="0" w:line="170"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4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(2,660,000)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(2,449,810)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7"/>
              </w:rPr>
              <w:t>(13,300,000)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(124,412,583)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(13,366,023)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5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earned on 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6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(84,749)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5" w:name="page156"/>
    <w:bookmarkEnd w:id="1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Three Months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8"/>
              </w:rPr>
              <w:t>Ended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20" w:type="dxa"/>
            <w:vAlign w:val="bottom"/>
            <w:gridSpan w:val="2"/>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53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160"/>
              <w:spacing w:after="0" w:line="186"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8"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7" w:name="page158"/>
    <w:bookmarkEnd w:id="1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5"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8"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10"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8" w:name="page159"/>
    <w:bookmarkEnd w:id="1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9"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5"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12"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7" w:lineRule="exact"/>
        <w:rPr>
          <w:sz w:val="20"/>
          <w:szCs w:val="20"/>
          <w:color w:val="auto"/>
        </w:rPr>
      </w:pPr>
    </w:p>
    <w:p>
      <w:pPr>
        <w:ind w:left="1440" w:right="619" w:hanging="418"/>
        <w:spacing w:after="0" w:line="293"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For the</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ended</w:t>
            </w: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7"/>
                <w:szCs w:val="17"/>
                <w:color w:val="auto"/>
              </w:rPr>
            </w:pPr>
          </w:p>
        </w:tc>
      </w:tr>
      <w:tr>
        <w:trPr>
          <w:trHeight w:val="45"/>
        </w:trPr>
        <w:tc>
          <w:tcPr>
            <w:tcW w:w="510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(84,033)</w:t>
            </w:r>
          </w:p>
        </w:tc>
      </w:tr>
      <w:tr>
        <w:trPr>
          <w:trHeight w:val="247"/>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20" w:type="dxa"/>
            <w:vAlign w:val="bottom"/>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4"/>
          </w:tcPr>
          <w:p>
            <w:pPr>
              <w:jc w:val="center"/>
              <w:ind w:left="717"/>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7"/>
              </w:rPr>
              <w:t>March 31, 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42"/>
              <w:spacing w:after="0" w:line="172" w:lineRule="exact"/>
              <w:rPr>
                <w:sz w:val="20"/>
                <w:szCs w:val="20"/>
                <w:color w:val="auto"/>
              </w:rPr>
            </w:pPr>
            <w:r>
              <w:rPr>
                <w:rFonts w:ascii="Times New Roman" w:cs="Times New Roman" w:eastAsia="Times New Roman" w:hAnsi="Times New Roman"/>
                <w:sz w:val="16"/>
                <w:szCs w:val="16"/>
                <w:b w:val="1"/>
                <w:bCs w:val="1"/>
                <w:color w:val="auto"/>
              </w:rPr>
              <w:t>Non-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(5,492,495)</w:t>
            </w:r>
          </w:p>
        </w:tc>
        <w:tc>
          <w:tcPr>
            <w:tcW w:w="380" w:type="dxa"/>
            <w:vAlign w:val="bottom"/>
            <w:tcBorders>
              <w:bottom w:val="single" w:sz="8" w:color="CCEEFF"/>
            </w:tcBorders>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1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10"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3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7"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10"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5"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5"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74" w:lineRule="auto"/>
        <w:rPr>
          <w:sz w:val="20"/>
          <w:szCs w:val="20"/>
          <w:color w:val="auto"/>
        </w:rPr>
      </w:pPr>
      <w:r>
        <w:rPr>
          <w:rFonts w:ascii="Times New Roman" w:cs="Times New Roman" w:eastAsia="Times New Roman" w:hAnsi="Times New Roman"/>
          <w:sz w:val="17"/>
          <w:szCs w:val="17"/>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5"/>
        </w:trPr>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4"/>
              </w:rPr>
              <w:t>Inputs</w:t>
            </w:r>
          </w:p>
        </w:tc>
      </w:tr>
      <w:tr>
        <w:trPr>
          <w:trHeight w:val="205"/>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8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2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0" w:type="dxa"/>
            <w:vAlign w:val="bottom"/>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0" w:type="dxa"/>
            <w:vAlign w:val="bottom"/>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1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4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60" w:type="dxa"/>
            <w:vAlign w:val="bottom"/>
            <w:gridSpan w:val="2"/>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7"/>
        </w:trPr>
        <w:tc>
          <w:tcPr>
            <w:tcW w:w="20" w:type="dxa"/>
            <w:vAlign w:val="bottom"/>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F-39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66" w:name="page167"/>
    <w:bookmarkEnd w:id="16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Active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0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15,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2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26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64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29"/>
        </w:trPr>
        <w:tc>
          <w:tcPr>
            <w:tcW w:w="20" w:type="dxa"/>
            <w:vAlign w:val="bottom"/>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700"/>
              <w:spacing w:after="0"/>
              <w:rPr>
                <w:sz w:val="20"/>
                <w:szCs w:val="20"/>
                <w:color w:val="auto"/>
              </w:rPr>
            </w:pPr>
            <w:r>
              <w:rPr>
                <w:rFonts w:ascii="Times New Roman" w:cs="Times New Roman" w:eastAsia="Times New Roman" w:hAnsi="Times New Roman"/>
                <w:sz w:val="17"/>
                <w:szCs w:val="17"/>
                <w:color w:val="auto"/>
              </w:rPr>
              <w:t>F-40</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67" w:name="page168"/>
    <w:bookmarkEnd w:id="16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31, 2022:</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5"/>
        </w:trPr>
        <w:tc>
          <w:tcPr>
            <w:tcW w:w="6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4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5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23"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7"/>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66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6"/>
        </w:trPr>
        <w:tc>
          <w:tcPr>
            <w:tcW w:w="20" w:type="dxa"/>
            <w:vAlign w:val="bottom"/>
          </w:tcPr>
          <w:p>
            <w:pPr>
              <w:spacing w:after="0"/>
              <w:rPr>
                <w:sz w:val="23"/>
                <w:szCs w:val="23"/>
                <w:color w:val="auto"/>
              </w:rPr>
            </w:pPr>
          </w:p>
        </w:tc>
        <w:tc>
          <w:tcPr>
            <w:tcW w:w="658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r>
      <w:tr>
        <w:trPr>
          <w:trHeight w:val="253"/>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0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10"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3"/>
        </w:trPr>
        <w:tc>
          <w:tcPr>
            <w:tcW w:w="2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r>
      <w:tr>
        <w:trPr>
          <w:trHeight w:val="39"/>
        </w:trPr>
        <w:tc>
          <w:tcPr>
            <w:tcW w:w="4540" w:type="dxa"/>
            <w:vAlign w:val="bottom"/>
            <w:gridSpan w:val="2"/>
          </w:tcPr>
          <w:p>
            <w:pPr>
              <w:spacing w:after="0"/>
              <w:rPr>
                <w:sz w:val="3"/>
                <w:szCs w:val="3"/>
                <w:color w:val="auto"/>
              </w:rPr>
            </w:pPr>
          </w:p>
        </w:tc>
        <w:tc>
          <w:tcPr>
            <w:tcW w:w="2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6"/>
        </w:trPr>
        <w:tc>
          <w:tcPr>
            <w:tcW w:w="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53"/>
        </w:trPr>
        <w:tc>
          <w:tcPr>
            <w:tcW w:w="20" w:type="dxa"/>
            <w:vAlign w:val="bottom"/>
          </w:tcPr>
          <w:p>
            <w:pPr>
              <w:spacing w:after="0"/>
              <w:rPr>
                <w:sz w:val="22"/>
                <w:szCs w:val="22"/>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273,424</w:t>
            </w: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8" w:name="page169"/>
    <w:bookmarkEnd w:id="16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600" w:right="619"/>
        <w:spacing w:after="0" w:line="258" w:lineRule="auto"/>
        <w:rPr>
          <w:sz w:val="20"/>
          <w:szCs w:val="20"/>
          <w:color w:val="auto"/>
        </w:rPr>
      </w:pPr>
      <w:r>
        <w:rPr>
          <w:rFonts w:ascii="Times New Roman" w:cs="Times New Roman" w:eastAsia="Times New Roman" w:hAnsi="Times New Roman"/>
          <w:sz w:val="17"/>
          <w:szCs w:val="17"/>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1"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10"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9" w:name="page170"/>
    <w:bookmarkEnd w:id="16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44"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6"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5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4"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00" w:right="619" w:firstLine="416"/>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92" w:lineRule="exact"/>
        <w:rPr>
          <w:sz w:val="20"/>
          <w:szCs w:val="20"/>
          <w:color w:val="auto"/>
        </w:rPr>
      </w:pPr>
    </w:p>
    <w:p>
      <w:pPr>
        <w:jc w:val="both"/>
        <w:ind w:left="600" w:right="619" w:firstLine="416"/>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0" w:name="page171"/>
    <w:bookmarkEnd w:id="17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5"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22"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2" w:lineRule="exact"/>
        <w:rPr>
          <w:sz w:val="20"/>
          <w:szCs w:val="20"/>
          <w:color w:val="auto"/>
        </w:rPr>
      </w:pPr>
    </w:p>
    <w:p>
      <w:pPr>
        <w:ind w:left="1440" w:hanging="418"/>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5"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5" w:lineRule="exact"/>
        <w:rPr>
          <w:rFonts w:ascii="Times New Roman" w:cs="Times New Roman" w:eastAsia="Times New Roman" w:hAnsi="Times New Roman"/>
          <w:sz w:val="17"/>
          <w:szCs w:val="17"/>
          <w:color w:val="auto"/>
        </w:rPr>
      </w:pPr>
    </w:p>
    <w:p>
      <w:pPr>
        <w:jc w:val="both"/>
        <w:ind w:left="1440" w:right="619" w:hanging="418"/>
        <w:spacing w:after="0" w:line="266"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2"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1" w:lineRule="exact"/>
        <w:rPr>
          <w:sz w:val="20"/>
          <w:szCs w:val="20"/>
          <w:color w:val="auto"/>
        </w:rPr>
      </w:pPr>
    </w:p>
    <w:p>
      <w:pPr>
        <w:jc w:val="both"/>
        <w:ind w:left="600" w:right="619" w:firstLine="416"/>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1" w:name="page172"/>
    <w:bookmarkEnd w:id="17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44"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81"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05"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7" w:lineRule="exact"/>
        <w:rPr>
          <w:sz w:val="20"/>
          <w:szCs w:val="20"/>
          <w:color w:val="auto"/>
        </w:rPr>
      </w:pPr>
    </w:p>
    <w:p>
      <w:pPr>
        <w:jc w:val="both"/>
        <w:ind w:left="600" w:right="619" w:firstLine="416"/>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4"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97" w:lineRule="exact"/>
        <w:rPr>
          <w:sz w:val="20"/>
          <w:szCs w:val="20"/>
          <w:color w:val="auto"/>
        </w:rPr>
      </w:pPr>
    </w:p>
    <w:p>
      <w:pPr>
        <w:jc w:val="both"/>
        <w:ind w:left="600" w:right="619" w:firstLine="416"/>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00" w:right="619" w:firstLine="416"/>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4176395</wp:posOffset>
            </wp:positionH>
            <wp:positionV relativeFrom="paragraph">
              <wp:posOffset>151765</wp:posOffset>
            </wp:positionV>
            <wp:extent cx="1163320" cy="3384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63320" cy="33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jc w:val="both"/>
        <w:ind w:left="600" w:right="619" w:firstLine="416"/>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0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gridSpan w:val="2"/>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24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4"/>
        </w:trPr>
        <w:tc>
          <w:tcPr>
            <w:tcW w:w="55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assets</w:t>
            </w: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20" w:type="dxa"/>
            <w:vAlign w:val="bottom"/>
            <w:vMerge w:val="continue"/>
          </w:tcPr>
          <w:p>
            <w:pPr>
              <w:spacing w:after="0"/>
              <w:rPr>
                <w:sz w:val="23"/>
                <w:szCs w:val="23"/>
                <w:color w:val="auto"/>
              </w:rPr>
            </w:pP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20" w:type="dxa"/>
            <w:vAlign w:val="bottom"/>
          </w:tcPr>
          <w:p>
            <w:pPr>
              <w:spacing w:after="0" w:line="188"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2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73"/>
        </w:trPr>
        <w:tc>
          <w:tcPr>
            <w:tcW w:w="554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39"/>
        </w:trPr>
        <w:tc>
          <w:tcPr>
            <w:tcW w:w="55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247"/>
        </w:trPr>
        <w:tc>
          <w:tcPr>
            <w:tcW w:w="5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74" w:name="page175"/>
    <w:bookmarkEnd w:id="17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0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51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2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18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80" w:type="dxa"/>
            <w:vAlign w:val="bottom"/>
            <w:shd w:val="clear" w:color="auto" w:fill="CCEEFF"/>
          </w:tcPr>
          <w:p>
            <w:pPr>
              <w:ind w:left="340"/>
              <w:spacing w:after="0" w:line="170"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5" w:name="page176"/>
    <w:bookmarkEnd w:id="17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35560</wp:posOffset>
            </wp:positionV>
            <wp:extent cx="15182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7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5260" w:type="dxa"/>
            <w:vAlign w:val="bottom"/>
            <w:gridSpan w:val="2"/>
            <w:vMerge w:val="continue"/>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1" w:lineRule="exact"/>
        <w:rPr>
          <w:sz w:val="20"/>
          <w:szCs w:val="20"/>
          <w:color w:val="auto"/>
        </w:rPr>
      </w:pPr>
    </w:p>
    <w:tbl>
      <w:tblPr>
        <w:tblLayout w:type="fixed"/>
        <w:tblInd w:w="60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w w:val="97"/>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right w:val="single" w:sz="8" w:color="auto"/>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Issuance of common stock</w:t>
            </w:r>
          </w:p>
        </w:tc>
        <w:tc>
          <w:tcPr>
            <w:tcW w:w="80" w:type="dxa"/>
            <w:vAlign w:val="bottom"/>
          </w:tcPr>
          <w:p>
            <w:pPr>
              <w:spacing w:after="0"/>
              <w:rPr>
                <w:sz w:val="8"/>
                <w:szCs w:val="8"/>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tcPr>
          <w:p>
            <w:pPr>
              <w:spacing w:after="0"/>
              <w:rPr>
                <w:sz w:val="8"/>
                <w:szCs w:val="8"/>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4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4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4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w w:val="97"/>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7" w:name="page178"/>
    <w:bookmarkEnd w:id="17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5"/>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5"/>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Other assets, non-current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Deferred rent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0" w:type="dxa"/>
            <w:vAlign w:val="bottom"/>
          </w:tcPr>
          <w:p>
            <w:pPr>
              <w:spacing w:after="0"/>
              <w:rPr>
                <w:sz w:val="21"/>
                <w:szCs w:val="21"/>
                <w:color w:val="auto"/>
              </w:rPr>
            </w:pPr>
          </w:p>
        </w:tc>
        <w:tc>
          <w:tcPr>
            <w:tcW w:w="53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173355</wp:posOffset>
            </wp:positionV>
            <wp:extent cx="4951095" cy="1733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733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6"/>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44450</wp:posOffset>
            </wp:positionV>
            <wp:extent cx="4951095" cy="1816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51095" cy="181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ind w:left="1164" w:hanging="1164"/>
        <w:spacing w:after="0"/>
        <w:tabs>
          <w:tab w:leader="none" w:pos="1164"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90" w:lineRule="exact"/>
        <w:rPr>
          <w:rFonts w:ascii="Times New Roman" w:cs="Times New Roman" w:eastAsia="Times New Roman" w:hAnsi="Times New Roman"/>
          <w:sz w:val="17"/>
          <w:szCs w:val="17"/>
          <w:color w:val="auto"/>
        </w:rPr>
      </w:pPr>
    </w:p>
    <w:p>
      <w:pPr>
        <w:ind w:left="14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36195</wp:posOffset>
            </wp:positionV>
            <wp:extent cx="14274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44" w:lineRule="exact"/>
        <w:rPr>
          <w:sz w:val="20"/>
          <w:szCs w:val="20"/>
          <w:color w:val="auto"/>
        </w:rPr>
      </w:pPr>
    </w:p>
    <w:p>
      <w:pPr>
        <w:ind w:left="4"/>
        <w:spacing w:after="0"/>
        <w:tabs>
          <w:tab w:leader="none" w:pos="1104"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6" w:space="720"/>
            <w:col w:w="2364"/>
          </w:cols>
          <w:pgMar w:left="1440" w:top="264" w:right="1440" w:bottom="1440" w:gutter="0" w:footer="0" w:header="0"/>
          <w:type w:val="continuous"/>
        </w:sectPr>
      </w:pP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22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ind w:left="680"/>
              <w:spacing w:after="0" w:line="170"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20" w:type="dxa"/>
            <w:vAlign w:val="bottom"/>
            <w:gridSpan w:val="2"/>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4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F-51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78" w:name="page179"/>
    <w:bookmarkEnd w:id="17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20" w:type="dxa"/>
            <w:vAlign w:val="bottom"/>
            <w:shd w:val="clear" w:color="auto" w:fill="CCEEFF"/>
          </w:tcPr>
          <w:p>
            <w:pPr>
              <w:ind w:left="500"/>
              <w:spacing w:after="0" w:line="170"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Topic 842</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ind w:left="340"/>
              <w:spacing w:after="0" w:line="191"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340"/>
              <w:spacing w:after="0" w:line="186"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9" w:name="page180"/>
    <w:bookmarkEnd w:id="17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0" w:name="page181"/>
    <w:bookmarkEnd w:id="18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2" w:lineRule="exact"/>
        <w:rPr>
          <w:sz w:val="20"/>
          <w:szCs w:val="20"/>
          <w:color w:val="auto"/>
        </w:rPr>
      </w:pPr>
    </w:p>
    <w:p>
      <w:pPr>
        <w:ind w:left="1000" w:hanging="394"/>
        <w:spacing w:after="0"/>
        <w:tabs>
          <w:tab w:leader="none" w:pos="10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1" w:name="page182"/>
    <w:bookmarkEnd w:id="18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1"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4 years</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r>
    </w:tbl>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2" w:name="page183"/>
    <w:bookmarkEnd w:id="18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1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3" w:lineRule="exact"/>
        <w:rPr>
          <w:sz w:val="20"/>
          <w:szCs w:val="20"/>
          <w:color w:val="auto"/>
        </w:rPr>
      </w:pPr>
    </w:p>
    <w:p>
      <w:pPr>
        <w:ind w:left="1860" w:right="619" w:hanging="423"/>
        <w:spacing w:after="0" w:line="29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5" w:lineRule="auto"/>
        <w:tabs>
          <w:tab w:leader="none" w:pos="185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5" w:lineRule="exact"/>
        <w:rPr>
          <w:sz w:val="20"/>
          <w:szCs w:val="20"/>
          <w:color w:val="auto"/>
        </w:rPr>
      </w:pPr>
    </w:p>
    <w:p>
      <w:pPr>
        <w:ind w:left="1000" w:hanging="394"/>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7"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0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10" w:lineRule="exact"/>
        <w:rPr>
          <w:sz w:val="20"/>
          <w:szCs w:val="20"/>
          <w:color w:val="auto"/>
        </w:rPr>
      </w:pPr>
    </w:p>
    <w:p>
      <w:pPr>
        <w:ind w:left="1840" w:hanging="403"/>
        <w:spacing w:after="0"/>
        <w:tabs>
          <w:tab w:leader="none" w:pos="18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0" w:name="page191"/>
    <w:bookmarkEnd w:id="19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40" w:hanging="403"/>
        <w:spacing w:after="0"/>
        <w:tabs>
          <w:tab w:leader="none" w:pos="184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5"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3"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5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1"/>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3"/>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7"/>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17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vMerge w:val="continue"/>
          </w:tcPr>
          <w:p>
            <w:pPr>
              <w:spacing w:after="0"/>
              <w:rPr>
                <w:sz w:val="20"/>
                <w:szCs w:val="20"/>
                <w:color w:val="auto"/>
              </w:rPr>
            </w:pPr>
          </w:p>
        </w:tc>
        <w:tc>
          <w:tcPr>
            <w:tcW w:w="20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80" w:type="dxa"/>
            <w:vAlign w:val="bottom"/>
            <w:gridSpan w:val="2"/>
          </w:tcPr>
          <w:p>
            <w:pPr>
              <w:jc w:val="right"/>
              <w:ind w:right="14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2" w:name="page193"/>
    <w:bookmarkEnd w:id="19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tbl>
      <w:tblPr>
        <w:tblLayout w:type="fixed"/>
        <w:tblInd w:w="600" w:type="dxa"/>
        <w:tblCellMar>
          <w:top w:w="0" w:type="dxa"/>
          <w:left w:w="0" w:type="dxa"/>
          <w:bottom w:w="0" w:type="dxa"/>
          <w:right w:w="0" w:type="dxa"/>
        </w:tblCellMar>
      </w:tblPr>
      <w:tr>
        <w:trPr>
          <w:trHeight w:val="228"/>
        </w:trPr>
        <w:tc>
          <w:tcPr>
            <w:tcW w:w="260" w:type="dxa"/>
            <w:vAlign w:val="bottom"/>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93"/>
              </w:rPr>
              <w:t>4.</w:t>
            </w: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Furniture and fixtures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0" w:type="dxa"/>
            <w:vAlign w:val="bottom"/>
          </w:tcPr>
          <w:p>
            <w:pPr>
              <w:spacing w:after="0"/>
              <w:rPr>
                <w:sz w:val="3"/>
                <w:szCs w:val="3"/>
                <w:color w:val="auto"/>
              </w:rPr>
            </w:pPr>
          </w:p>
        </w:tc>
        <w:tc>
          <w:tcPr>
            <w:tcW w:w="45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45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at cost</w:t>
            </w: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60" w:type="dxa"/>
            <w:vAlign w:val="bottom"/>
          </w:tcPr>
          <w:p>
            <w:pPr>
              <w:spacing w:after="0"/>
              <w:rPr>
                <w:sz w:val="2"/>
                <w:szCs w:val="2"/>
                <w:color w:val="auto"/>
              </w:rPr>
            </w:pPr>
          </w:p>
        </w:tc>
        <w:tc>
          <w:tcPr>
            <w:tcW w:w="45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(27,399)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60" w:type="dxa"/>
            <w:vAlign w:val="bottom"/>
          </w:tcPr>
          <w:p>
            <w:pPr>
              <w:spacing w:after="0"/>
              <w:rPr>
                <w:sz w:val="20"/>
                <w:szCs w:val="20"/>
                <w:color w:val="auto"/>
              </w:rPr>
            </w:pPr>
          </w:p>
        </w:tc>
        <w:tc>
          <w:tcPr>
            <w:tcW w:w="4580" w:type="dxa"/>
            <w:vAlign w:val="bottom"/>
            <w:gridSpan w:val="2"/>
            <w:vMerge w:val="continue"/>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70" w:lineRule="exact"/>
        <w:rPr>
          <w:sz w:val="20"/>
          <w:szCs w:val="20"/>
          <w:color w:val="auto"/>
        </w:rPr>
      </w:pPr>
    </w:p>
    <w:p>
      <w:pPr>
        <w:ind w:left="1000" w:hanging="394"/>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3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33"/>
        </w:trPr>
        <w:tc>
          <w:tcPr>
            <w:tcW w:w="364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3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0" w:lineRule="exact"/>
        <w:rPr>
          <w:sz w:val="20"/>
          <w:szCs w:val="20"/>
          <w:color w:val="auto"/>
        </w:rPr>
      </w:pPr>
    </w:p>
    <w:p>
      <w:pPr>
        <w:ind w:left="1000" w:hanging="394"/>
        <w:spacing w:after="0"/>
        <w:tabs>
          <w:tab w:leader="none" w:pos="10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3" w:name="page194"/>
    <w:bookmarkEnd w:id="19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6"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8" w:lineRule="exact"/>
        <w:rPr>
          <w:sz w:val="20"/>
          <w:szCs w:val="20"/>
          <w:color w:val="auto"/>
        </w:rPr>
      </w:pPr>
    </w:p>
    <w:p>
      <w:pPr>
        <w:ind w:left="1000" w:hanging="394"/>
        <w:spacing w:after="0"/>
        <w:tabs>
          <w:tab w:leader="none" w:pos="10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4" w:name="page195"/>
    <w:bookmarkEnd w:id="19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87" w:lineRule="exact"/>
        <w:rPr>
          <w:sz w:val="20"/>
          <w:szCs w:val="20"/>
          <w:color w:val="auto"/>
        </w:rPr>
      </w:pPr>
    </w:p>
    <w:p>
      <w:pPr>
        <w:ind w:left="1000" w:hanging="394"/>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6"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8" w:lineRule="exact"/>
        <w:rPr>
          <w:sz w:val="20"/>
          <w:szCs w:val="20"/>
          <w:color w:val="auto"/>
        </w:rPr>
      </w:pPr>
    </w:p>
    <w:p>
      <w:pPr>
        <w:ind w:left="1440" w:right="619"/>
        <w:spacing w:after="0" w:line="293"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1"/>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7"/>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F-69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6" w:name="page197"/>
    <w:bookmarkEnd w:id="19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1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7" w:name="page198"/>
    <w:bookmarkEnd w:id="19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4"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7"/>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3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160"/>
              <w:spacing w:after="0" w:line="172" w:lineRule="exact"/>
              <w:rPr>
                <w:sz w:val="20"/>
                <w:szCs w:val="20"/>
                <w:color w:val="auto"/>
              </w:rPr>
            </w:pPr>
            <w:r>
              <w:rPr>
                <w:rFonts w:ascii="Times New Roman" w:cs="Times New Roman" w:eastAsia="Times New Roman" w:hAnsi="Times New Roman"/>
                <w:sz w:val="16"/>
                <w:szCs w:val="16"/>
                <w:b w:val="1"/>
                <w:bCs w:val="1"/>
                <w:color w:val="auto"/>
              </w:rPr>
              <w:t>SNAP</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3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35560</wp:posOffset>
            </wp:positionV>
            <wp:extent cx="22853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35560</wp:posOffset>
            </wp:positionV>
            <wp:extent cx="23018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9" w:name="page200"/>
    <w:bookmarkEnd w:id="19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7"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0" w:name="page201"/>
    <w:bookmarkEnd w:id="20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r>
        <w:trPr>
          <w:trHeight w:val="436"/>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8"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3"/>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1000" w:hanging="394"/>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38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3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tcBorders>
              <w:bottom w:val="single" w:sz="8" w:color="CCEEFF"/>
            </w:tcBorders>
          </w:tcPr>
          <w:p>
            <w:pPr>
              <w:spacing w:after="0"/>
              <w:rPr>
                <w:sz w:val="3"/>
                <w:szCs w:val="3"/>
                <w:color w:val="auto"/>
              </w:rPr>
            </w:pPr>
          </w:p>
        </w:tc>
        <w:tc>
          <w:tcPr>
            <w:tcW w:w="12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9"/>
                <w:szCs w:val="19"/>
                <w:color w:val="auto"/>
              </w:rPr>
            </w:pPr>
          </w:p>
        </w:tc>
      </w:tr>
      <w:tr>
        <w:trPr>
          <w:trHeight w:val="34"/>
        </w:trPr>
        <w:tc>
          <w:tcPr>
            <w:tcW w:w="3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3"/>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7"/>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38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8"/>
              </w:rPr>
              <w:t>Liquidation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100" w:type="dxa"/>
            <w:vAlign w:val="bottom"/>
          </w:tcPr>
          <w:p>
            <w:pPr>
              <w:spacing w:after="0"/>
              <w:rPr>
                <w:sz w:val="20"/>
                <w:szCs w:val="20"/>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3" w:lineRule="exact"/>
        <w:rPr>
          <w:sz w:val="20"/>
          <w:szCs w:val="20"/>
          <w:color w:val="auto"/>
        </w:rPr>
      </w:pPr>
    </w:p>
    <w:p>
      <w:pPr>
        <w:ind w:left="1020" w:right="619" w:firstLine="2"/>
        <w:spacing w:after="0" w:line="270" w:lineRule="auto"/>
        <w:tabs>
          <w:tab w:leader="none" w:pos="127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2" w:lineRule="exact"/>
        <w:rPr>
          <w:sz w:val="20"/>
          <w:szCs w:val="20"/>
          <w:color w:val="auto"/>
        </w:rPr>
      </w:pPr>
    </w:p>
    <w:p>
      <w:pPr>
        <w:jc w:val="both"/>
        <w:ind w:left="1020" w:right="619" w:firstLine="2"/>
        <w:spacing w:after="0" w:line="257" w:lineRule="auto"/>
        <w:tabs>
          <w:tab w:leader="none" w:pos="124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3" w:lineRule="exact"/>
        <w:rPr>
          <w:sz w:val="20"/>
          <w:szCs w:val="20"/>
          <w:color w:val="auto"/>
        </w:rPr>
      </w:pPr>
    </w:p>
    <w:p>
      <w:pPr>
        <w:jc w:val="both"/>
        <w:ind w:left="1020" w:right="619" w:firstLine="2"/>
        <w:spacing w:after="0" w:line="257" w:lineRule="auto"/>
        <w:tabs>
          <w:tab w:leader="none" w:pos="1291"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7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200" w:lineRule="exact"/>
        <w:rPr>
          <w:sz w:val="20"/>
          <w:szCs w:val="20"/>
          <w:color w:val="auto"/>
        </w:rPr>
      </w:pP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Preferred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0" w:type="dxa"/>
            <w:vAlign w:val="bottom"/>
          </w:tcPr>
          <w:p>
            <w:pPr>
              <w:spacing w:after="0"/>
              <w:rPr>
                <w:sz w:val="1"/>
                <w:szCs w:val="1"/>
                <w:color w:val="auto"/>
              </w:rPr>
            </w:pP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Preferred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0" w:type="dxa"/>
            <w:vAlign w:val="bottom"/>
          </w:tcPr>
          <w:p>
            <w:pPr>
              <w:spacing w:after="0"/>
              <w:rPr>
                <w:sz w:val="1"/>
                <w:szCs w:val="1"/>
                <w:color w:val="auto"/>
              </w:rPr>
            </w:pP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 Preferred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0" w:type="dxa"/>
            <w:vAlign w:val="bottom"/>
          </w:tcPr>
          <w:p>
            <w:pPr>
              <w:spacing w:after="0"/>
              <w:rPr>
                <w:sz w:val="1"/>
                <w:szCs w:val="1"/>
                <w:color w:val="auto"/>
              </w:rPr>
            </w:pP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0" w:type="dxa"/>
            <w:vAlign w:val="bottom"/>
          </w:tcPr>
          <w:p>
            <w:pPr>
              <w:spacing w:after="0"/>
              <w:rPr>
                <w:sz w:val="1"/>
                <w:szCs w:val="1"/>
                <w:color w:val="auto"/>
              </w:rPr>
            </w:pP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0" w:type="dxa"/>
            <w:vAlign w:val="bottom"/>
          </w:tcPr>
          <w:p>
            <w:pPr>
              <w:spacing w:after="0"/>
              <w:rPr>
                <w:sz w:val="1"/>
                <w:szCs w:val="1"/>
                <w:color w:val="auto"/>
              </w:rPr>
            </w:pP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F-79</w:t>
            </w: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662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06" w:name="page207"/>
    <w:bookmarkEnd w:id="20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1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4"/>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7"/>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19"/>
        <w:spacing w:after="0" w:line="271"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7" w:name="page208"/>
    <w:bookmarkEnd w:id="20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180" w:type="dxa"/>
            <w:vAlign w:val="bottom"/>
            <w:gridSpan w:val="3"/>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0" w:type="dxa"/>
            <w:vAlign w:val="bottom"/>
          </w:tcPr>
          <w:p>
            <w:pPr>
              <w:spacing w:after="0"/>
              <w:rPr>
                <w:sz w:val="1"/>
                <w:szCs w:val="1"/>
                <w:color w:val="auto"/>
              </w:rPr>
            </w:pPr>
          </w:p>
        </w:tc>
      </w:tr>
      <w:tr>
        <w:trPr>
          <w:trHeight w:val="205"/>
        </w:trPr>
        <w:tc>
          <w:tcPr>
            <w:tcW w:w="3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$2.43 – $12.06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260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3"/>
              <w:spacing w:after="0"/>
              <w:rPr>
                <w:sz w:val="20"/>
                <w:szCs w:val="20"/>
                <w:color w:val="auto"/>
              </w:rPr>
            </w:pPr>
            <w:r>
              <w:rPr>
                <w:rFonts w:ascii="Times New Roman" w:cs="Times New Roman" w:eastAsia="Times New Roman" w:hAnsi="Times New Roman"/>
                <w:sz w:val="17"/>
                <w:szCs w:val="17"/>
                <w:color w:val="auto"/>
              </w:rPr>
              <w:t>F-81</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08" w:name="page209"/>
    <w:bookmarkEnd w:id="20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5"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37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8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80" w:type="dxa"/>
            <w:vAlign w:val="bottom"/>
          </w:tcPr>
          <w:p>
            <w:pPr>
              <w:spacing w:after="0"/>
              <w:rPr>
                <w:sz w:val="17"/>
                <w:szCs w:val="17"/>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3"/>
        </w:trPr>
        <w:tc>
          <w:tcPr>
            <w:tcW w:w="400" w:type="dxa"/>
            <w:vAlign w:val="bottom"/>
          </w:tcPr>
          <w:p>
            <w:pPr>
              <w:spacing w:after="0"/>
              <w:rPr>
                <w:sz w:val="23"/>
                <w:szCs w:val="23"/>
                <w:color w:val="auto"/>
              </w:rPr>
            </w:pPr>
          </w:p>
        </w:tc>
        <w:tc>
          <w:tcPr>
            <w:tcW w:w="2960" w:type="dxa"/>
            <w:vAlign w:val="bottom"/>
            <w:shd w:val="clear" w:color="auto" w:fill="CCEEFF"/>
          </w:tcPr>
          <w:p>
            <w:pPr>
              <w:spacing w:after="0"/>
              <w:rPr>
                <w:sz w:val="23"/>
                <w:szCs w:val="23"/>
                <w:color w:val="auto"/>
              </w:rPr>
            </w:pPr>
          </w:p>
        </w:tc>
        <w:tc>
          <w:tcPr>
            <w:tcW w:w="3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6"/>
        </w:trPr>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3"/>
              <w:spacing w:after="0"/>
              <w:rPr>
                <w:sz w:val="20"/>
                <w:szCs w:val="20"/>
                <w:color w:val="auto"/>
              </w:rPr>
            </w:pPr>
            <w:r>
              <w:rPr>
                <w:rFonts w:ascii="Times New Roman" w:cs="Times New Roman" w:eastAsia="Times New Roman" w:hAnsi="Times New Roman"/>
                <w:sz w:val="17"/>
                <w:szCs w:val="17"/>
                <w:color w:val="auto"/>
              </w:rPr>
              <w:t>F-82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09" w:name="page210"/>
    <w:bookmarkEnd w:id="20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4"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4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8"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36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21"/>
        </w:trPr>
        <w:tc>
          <w:tcPr>
            <w:tcW w:w="4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18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3"/>
        </w:trPr>
        <w:tc>
          <w:tcPr>
            <w:tcW w:w="400" w:type="dxa"/>
            <w:vAlign w:val="bottom"/>
          </w:tcPr>
          <w:p>
            <w:pPr>
              <w:spacing w:after="0"/>
              <w:rPr>
                <w:sz w:val="20"/>
                <w:szCs w:val="20"/>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2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53"/>
        </w:trPr>
        <w:tc>
          <w:tcPr>
            <w:tcW w:w="40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7"/>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00" w:type="dxa"/>
            <w:vAlign w:val="bottom"/>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3"/>
        </w:trPr>
        <w:tc>
          <w:tcPr>
            <w:tcW w:w="400" w:type="dxa"/>
            <w:vAlign w:val="bottom"/>
          </w:tcPr>
          <w:p>
            <w:pPr>
              <w:spacing w:after="0"/>
              <w:rPr>
                <w:sz w:val="20"/>
                <w:szCs w:val="20"/>
                <w:color w:val="auto"/>
              </w:rPr>
            </w:pPr>
          </w:p>
        </w:tc>
        <w:tc>
          <w:tcPr>
            <w:tcW w:w="2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0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F-83</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0" w:name="page211"/>
    <w:bookmarkEnd w:id="21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(73,056)</w:t>
            </w:r>
          </w:p>
        </w:tc>
      </w:tr>
      <w:tr>
        <w:trPr>
          <w:trHeight w:val="247"/>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11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613"/>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Federal</w:t>
            </w:r>
          </w:p>
        </w:tc>
        <w:tc>
          <w:tcPr>
            <w:tcW w:w="2680" w:type="dxa"/>
            <w:vAlign w:val="bottom"/>
            <w:gridSpan w:val="3"/>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p>
        </w:tc>
        <w:tc>
          <w:tcPr>
            <w:tcW w:w="268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60" w:type="dxa"/>
            <w:vAlign w:val="bottom"/>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456</w:t>
            </w:r>
          </w:p>
        </w:tc>
        <w:tc>
          <w:tcPr>
            <w:tcW w:w="80" w:type="dxa"/>
            <w:vAlign w:val="bottom"/>
            <w:gridSpan w:val="2"/>
          </w:tcPr>
          <w:p>
            <w:pPr>
              <w:spacing w:after="0"/>
              <w:rPr>
                <w:sz w:val="18"/>
                <w:szCs w:val="18"/>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2"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2660" w:type="dxa"/>
            <w:vAlign w:val="bottom"/>
            <w:gridSpan w:val="2"/>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3"/>
        </w:trPr>
        <w:tc>
          <w:tcPr>
            <w:tcW w:w="360" w:type="dxa"/>
            <w:vAlign w:val="bottom"/>
          </w:tcPr>
          <w:p>
            <w:pPr>
              <w:spacing w:after="0"/>
              <w:rPr>
                <w:sz w:val="20"/>
                <w:szCs w:val="20"/>
                <w:color w:val="auto"/>
              </w:rPr>
            </w:pPr>
          </w:p>
        </w:tc>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2.56%</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2.03%</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3"/>
        </w:trPr>
        <w:tc>
          <w:tcPr>
            <w:tcW w:w="36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7"/>
        </w:trPr>
        <w:tc>
          <w:tcPr>
            <w:tcW w:w="35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1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60" w:type="dxa"/>
            <w:vAlign w:val="bottom"/>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360" w:type="dxa"/>
            <w:vAlign w:val="bottom"/>
          </w:tcPr>
          <w:p>
            <w:pPr>
              <w:spacing w:after="0"/>
              <w:rPr>
                <w:sz w:val="20"/>
                <w:szCs w:val="20"/>
                <w:color w:val="auto"/>
              </w:rPr>
            </w:pPr>
          </w:p>
        </w:tc>
        <w:tc>
          <w:tcPr>
            <w:tcW w:w="31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r>
      <w:tr>
        <w:trPr>
          <w:trHeight w:val="20"/>
        </w:trPr>
        <w:tc>
          <w:tcPr>
            <w:tcW w:w="3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62"/>
        </w:trPr>
        <w:tc>
          <w:tcPr>
            <w:tcW w:w="3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F-84</w:t>
            </w: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1" w:name="page212"/>
    <w:bookmarkEnd w:id="21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1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7"/>
        </w:trPr>
        <w:tc>
          <w:tcPr>
            <w:tcW w:w="41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2" w:name="page213"/>
    <w:bookmarkEnd w:id="21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3"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3"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35560</wp:posOffset>
            </wp:positionV>
            <wp:extent cx="15265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52654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3" w:name="page214"/>
    <w:bookmarkEnd w:id="213"/>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39"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September 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3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Restricted cash equivalents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Accounts receivable, net of allowances of $109 as of September 30, 2022 and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Contract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 current assets</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 equivalents,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offering costs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assets, non-current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REDEEMABLE CONVERTIBLE PREFERRED STOCK,</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6"/>
                <w:szCs w:val="16"/>
                <w:b w:val="1"/>
                <w:bCs w:val="1"/>
                <w:color w:val="auto"/>
              </w:rPr>
              <w:t>AND STOCKHOLDERS’ DEFICIT</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Derivative liability</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16,533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29,964</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87,739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5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Commitments and contingencies (Note 7)</w:t>
            </w: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vMerge w:val="restart"/>
          </w:tcPr>
          <w:p>
            <w:pPr>
              <w:spacing w:after="0"/>
              <w:rPr>
                <w:sz w:val="23"/>
                <w:szCs w:val="23"/>
                <w:color w:val="auto"/>
              </w:rPr>
            </w:pPr>
          </w:p>
        </w:tc>
        <w:tc>
          <w:tcPr>
            <w:tcW w:w="53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53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Legacy SoundHound redeemable convertible preferred stock; $0.0001 par value; 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146,218,514 shares authorized; 0 and 106,949,326 shares issued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9"/>
              </w:rPr>
              <w:t>outstanding, liquidation preference of $0 and $284,826 as of September 30, 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Legacy SoundHound Common Stock, $0.0001 par value; 250,030,433 shares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authorized; 0 and 68,258,556 shares issued and outstanding as of</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September 30, 2022 and 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shd w:val="clear" w:color="auto" w:fill="CCEEFF"/>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A Common Stock, $0.0001 par value; 455,000,000 shares authorized;</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w w:val="98"/>
              </w:rPr>
              <w:t>157,296,065 and 0 shares issued and outstanding as of September 30, 2022 and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40" w:type="dxa"/>
            <w:vAlign w:val="bottom"/>
          </w:tcPr>
          <w:p>
            <w:pPr>
              <w:ind w:left="160"/>
              <w:spacing w:after="0" w:line="181" w:lineRule="exact"/>
              <w:rPr>
                <w:sz w:val="20"/>
                <w:szCs w:val="20"/>
                <w:color w:val="auto"/>
              </w:rPr>
            </w:pPr>
            <w:r>
              <w:rPr>
                <w:rFonts w:ascii="Times New Roman" w:cs="Times New Roman" w:eastAsia="Times New Roman" w:hAnsi="Times New Roman"/>
                <w:sz w:val="16"/>
                <w:szCs w:val="16"/>
                <w:color w:val="auto"/>
              </w:rPr>
              <w:t>Class B Common Stock, $0.0001 par value; 44,000,000 shares authorized;</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w w:val="99"/>
              </w:rPr>
              <w:t>40,396,600 and 0 shares issued and outstanding as of September 30, 2022 and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14" w:name="page215"/>
    <w:bookmarkEnd w:id="214"/>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29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457,025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3"/>
        </w:trPr>
        <w:tc>
          <w:tcPr>
            <w:tcW w:w="53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(471,422)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(386,729)</w:t>
            </w:r>
          </w:p>
        </w:tc>
      </w:tr>
      <w:tr>
        <w:trPr>
          <w:trHeight w:val="31"/>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3"/>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(343,237)</w:t>
            </w:r>
          </w:p>
        </w:tc>
      </w:tr>
      <w:tr>
        <w:trPr>
          <w:trHeight w:val="161"/>
        </w:trPr>
        <w:tc>
          <w:tcPr>
            <w:tcW w:w="5300" w:type="dxa"/>
            <w:vAlign w:val="bottom"/>
          </w:tcPr>
          <w:p>
            <w:pPr>
              <w:ind w:left="340"/>
              <w:spacing w:after="0" w:line="161" w:lineRule="exact"/>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228"/>
        </w:trPr>
        <w:tc>
          <w:tcPr>
            <w:tcW w:w="53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deficit</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63,841</w:t>
            </w:r>
          </w:p>
        </w:tc>
        <w:tc>
          <w:tcPr>
            <w:tcW w:w="12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49,203</w:t>
            </w:r>
          </w:p>
        </w:tc>
        <w:tc>
          <w:tcPr>
            <w:tcW w:w="14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5" w:name="page216"/>
    <w:bookmarkEnd w:id="21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54,864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38,194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98,283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62,334</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(27,008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(76,655</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(46,288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6"/>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92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(22,591)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(83,088)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9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(23,781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29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center"/>
              <w:ind w:righ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5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5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3520" w:type="dxa"/>
            <w:vAlign w:val="bottom"/>
            <w:gridSpan w:val="2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520" w:type="dxa"/>
            <w:vAlign w:val="bottom"/>
            <w:gridSpan w:val="24"/>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640" w:type="dxa"/>
            <w:vAlign w:val="bottom"/>
            <w:gridSpan w:val="4"/>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12"/>
            <w:vMerge w:val="restart"/>
          </w:tcPr>
          <w:p>
            <w:pP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640" w:type="dxa"/>
            <w:vAlign w:val="bottom"/>
            <w:gridSpan w:val="4"/>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7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156,266,549</w:t>
            </w:r>
          </w:p>
        </w:tc>
        <w:tc>
          <w:tcPr>
            <w:tcW w:w="20" w:type="dxa"/>
            <w:vAlign w:val="bottom"/>
            <w:shd w:val="clear" w:color="auto" w:fill="CCEEFF"/>
          </w:tcPr>
          <w:p>
            <w:pPr>
              <w:spacing w:after="0"/>
              <w:rPr>
                <w:sz w:val="8"/>
                <w:szCs w:val="8"/>
                <w:color w:val="auto"/>
              </w:rPr>
            </w:pPr>
          </w:p>
        </w:tc>
        <w:tc>
          <w:tcPr>
            <w:tcW w:w="30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8"/>
                <w:szCs w:val="8"/>
                <w:color w:val="auto"/>
              </w:rPr>
            </w:pPr>
          </w:p>
        </w:tc>
        <w:tc>
          <w:tcPr>
            <w:tcW w:w="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447,136</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 $ (442,500)</w:t>
            </w:r>
          </w:p>
        </w:tc>
        <w:tc>
          <w:tcPr>
            <w:tcW w:w="1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28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shares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exercise of</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514,931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514,585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5"/>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5"/>
            <w:vMerge w:val="continue"/>
            <w:shd w:val="clear" w:color="auto" w:fill="CCEEFF"/>
          </w:tcPr>
          <w:p>
            <w:pPr>
              <w:spacing w:after="0"/>
              <w:rPr>
                <w:sz w:val="16"/>
                <w:szCs w:val="16"/>
                <w:color w:val="auto"/>
              </w:rPr>
            </w:pPr>
          </w:p>
        </w:tc>
        <w:tc>
          <w:tcPr>
            <w:tcW w:w="700" w:type="dxa"/>
            <w:vAlign w:val="bottom"/>
            <w:tcBorders>
              <w:bottom w:val="single" w:sz="8" w:color="CCEEFF"/>
            </w:tcBorders>
            <w:gridSpan w:val="5"/>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9,173</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(28,922)</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(28,92</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5"/>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157,296,065</w:t>
            </w:r>
          </w:p>
        </w:tc>
        <w:tc>
          <w:tcPr>
            <w:tcW w:w="20" w:type="dxa"/>
            <w:vAlign w:val="bottom"/>
            <w:shd w:val="clear" w:color="auto" w:fill="CCEEFF"/>
          </w:tcPr>
          <w:p>
            <w:pPr>
              <w:spacing w:after="0"/>
              <w:rPr>
                <w:sz w:val="16"/>
                <w:szCs w:val="16"/>
                <w:color w:val="auto"/>
              </w:rPr>
            </w:pPr>
          </w:p>
        </w:tc>
        <w:tc>
          <w:tcPr>
            <w:tcW w:w="3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shd w:val="clear" w:color="auto" w:fill="CCEEFF"/>
          </w:tcPr>
          <w:p>
            <w:pPr>
              <w:spacing w:after="0"/>
              <w:rPr>
                <w:sz w:val="16"/>
                <w:szCs w:val="16"/>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98"/>
              </w:rPr>
              <w:t>(471,422)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u w:val="single" w:color="auto"/>
                <w:color w:val="auto"/>
                <w:w w:val="97"/>
              </w:rPr>
              <w:t>$</w:t>
            </w:r>
            <w:r>
              <w:rPr>
                <w:rFonts w:ascii="Times New Roman" w:cs="Times New Roman" w:eastAsia="Times New Roman" w:hAnsi="Times New Roman"/>
                <w:sz w:val="14"/>
                <w:szCs w:val="14"/>
                <w:color w:val="auto"/>
                <w:w w:val="97"/>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16"/>
          </w:tcPr>
          <w:p>
            <w:pPr>
              <w:ind w:left="140"/>
              <w:spacing w:after="0"/>
              <w:rPr>
                <w:sz w:val="20"/>
                <w:szCs w:val="20"/>
                <w:color w:val="auto"/>
              </w:rPr>
            </w:pPr>
            <w:r>
              <w:rPr>
                <w:rFonts w:ascii="Times New Roman" w:cs="Times New Roman" w:eastAsia="Times New Roman" w:hAnsi="Times New Roman"/>
                <w:sz w:val="14"/>
                <w:szCs w:val="14"/>
                <w:b w:val="1"/>
                <w:bCs w:val="1"/>
                <w:color w:val="auto"/>
                <w:w w:val="98"/>
              </w:rPr>
              <w:t>Three Months Ended September 30, 2021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gridSpan w:val="4"/>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4"/>
          </w:tcPr>
          <w:p>
            <w:pPr>
              <w:jc w:val="center"/>
              <w:ind w:right="51"/>
              <w:spacing w:after="0" w:line="111" w:lineRule="exact"/>
              <w:rPr>
                <w:sz w:val="20"/>
                <w:szCs w:val="20"/>
                <w:color w:val="auto"/>
              </w:rPr>
            </w:pPr>
            <w:r>
              <w:rPr>
                <w:rFonts w:ascii="Times New Roman" w:cs="Times New Roman" w:eastAsia="Times New Roman" w:hAnsi="Times New Roman"/>
                <w:sz w:val="12"/>
                <w:szCs w:val="12"/>
                <w:b w:val="1"/>
                <w:bCs w:val="1"/>
                <w:color w:val="auto"/>
              </w:rPr>
              <w:t>Legacy SoundHound</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6"/>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0" w:type="dxa"/>
            <w:vAlign w:val="bottom"/>
            <w:gridSpan w:val="12"/>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Redeemable Convertible Legacy SoundHound</w:t>
            </w:r>
          </w:p>
        </w:tc>
        <w:tc>
          <w:tcPr>
            <w:tcW w:w="20" w:type="dxa"/>
            <w:vAlign w:val="bottom"/>
          </w:tcPr>
          <w:p>
            <w:pPr>
              <w:spacing w:after="0"/>
              <w:rPr>
                <w:sz w:val="12"/>
                <w:szCs w:val="12"/>
                <w:color w:val="auto"/>
              </w:rPr>
            </w:pPr>
          </w:p>
        </w:tc>
        <w:tc>
          <w:tcPr>
            <w:tcW w:w="3500" w:type="dxa"/>
            <w:vAlign w:val="bottom"/>
            <w:gridSpan w:val="2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Class A Common Stock Class B Common Stock Additional</w:t>
            </w:r>
          </w:p>
        </w:tc>
        <w:tc>
          <w:tcPr>
            <w:tcW w:w="40" w:type="dxa"/>
            <w:vAlign w:val="bottom"/>
          </w:tcPr>
          <w:p>
            <w:pPr>
              <w:spacing w:after="0"/>
              <w:rPr>
                <w:sz w:val="12"/>
                <w:szCs w:val="12"/>
                <w:color w:val="auto"/>
              </w:rPr>
            </w:pPr>
          </w:p>
        </w:tc>
        <w:tc>
          <w:tcPr>
            <w:tcW w:w="10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center"/>
              <w:ind w:right="3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20" w:type="dxa"/>
            <w:vAlign w:val="bottom"/>
            <w:gridSpan w:val="7"/>
          </w:tcPr>
          <w:p>
            <w:pPr>
              <w:jc w:val="right"/>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 w:type="dxa"/>
            <w:vAlign w:val="bottom"/>
          </w:tcPr>
          <w:p>
            <w:pPr>
              <w:spacing w:after="0"/>
              <w:rPr>
                <w:sz w:val="12"/>
                <w:szCs w:val="12"/>
                <w:color w:val="auto"/>
              </w:rPr>
            </w:pPr>
          </w:p>
        </w:tc>
        <w:tc>
          <w:tcPr>
            <w:tcW w:w="3500" w:type="dxa"/>
            <w:vAlign w:val="bottom"/>
            <w:gridSpan w:val="23"/>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restart"/>
          </w:tcPr>
          <w:p>
            <w:pPr>
              <w:jc w:val="right"/>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1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 Accumulated</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6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5"/>
                <w:szCs w:val="5"/>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3"/>
            <w:vMerge w:val="continue"/>
          </w:tcPr>
          <w:p>
            <w:pPr>
              <w:spacing w:after="0"/>
              <w:rPr>
                <w:sz w:val="5"/>
                <w:szCs w:val="5"/>
                <w:color w:val="auto"/>
              </w:rPr>
            </w:pPr>
          </w:p>
        </w:tc>
        <w:tc>
          <w:tcPr>
            <w:tcW w:w="1780" w:type="dxa"/>
            <w:vAlign w:val="bottom"/>
            <w:gridSpan w:val="1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67,633,891</w:t>
            </w:r>
          </w:p>
        </w:tc>
        <w:tc>
          <w:tcPr>
            <w:tcW w:w="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8"/>
                <w:szCs w:val="8"/>
                <w:color w:val="auto"/>
              </w:rPr>
            </w:pPr>
          </w:p>
        </w:tc>
        <w:tc>
          <w:tcPr>
            <w:tcW w:w="800" w:type="dxa"/>
            <w:vAlign w:val="bottom"/>
            <w:gridSpan w:val="3"/>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8"/>
                <w:szCs w:val="8"/>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gridSpan w:val="10"/>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 $ (341,101)</w:t>
            </w: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(302,0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30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3"/>
            <w:vMerge w:val="continue"/>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440" w:type="dxa"/>
            <w:vAlign w:val="bottom"/>
            <w:tcBorders>
              <w:bottom w:val="single" w:sz="8" w:color="CCEEFF"/>
            </w:tcBorders>
            <w:gridSpan w:val="5"/>
            <w:vMerge w:val="continue"/>
            <w:shd w:val="clear" w:color="auto" w:fill="CCEEFF"/>
          </w:tcPr>
          <w:p>
            <w:pPr>
              <w:spacing w:after="0"/>
              <w:rPr>
                <w:sz w:val="16"/>
                <w:szCs w:val="16"/>
                <w:color w:val="auto"/>
              </w:rPr>
            </w:pPr>
          </w:p>
        </w:tc>
        <w:tc>
          <w:tcPr>
            <w:tcW w:w="560" w:type="dxa"/>
            <w:vAlign w:val="bottom"/>
            <w:tcBorders>
              <w:bottom w:val="single" w:sz="8" w:color="CCEEFF"/>
            </w:tcBorders>
            <w:gridSpan w:val="2"/>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1600" w:type="dxa"/>
            <w:vAlign w:val="bottom"/>
            <w:tcBorders>
              <w:bottom w:val="single" w:sz="8" w:color="CCEEFF"/>
            </w:tcBorders>
            <w:gridSpan w:val="10"/>
            <w:vMerge w:val="continue"/>
            <w:shd w:val="clear" w:color="auto" w:fill="CCEEFF"/>
          </w:tcPr>
          <w:p>
            <w:pPr>
              <w:spacing w:after="0"/>
              <w:rPr>
                <w:sz w:val="16"/>
                <w:szCs w:val="16"/>
                <w:color w:val="auto"/>
              </w:rPr>
            </w:pPr>
          </w:p>
        </w:tc>
        <w:tc>
          <w:tcPr>
            <w:tcW w:w="10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212,297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restart"/>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0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1,315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5"/>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5"/>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5"/>
            <w:vMerge w:val="continue"/>
          </w:tcPr>
          <w:p>
            <w:pPr>
              <w:spacing w:after="0"/>
              <w:rPr>
                <w:sz w:val="15"/>
                <w:szCs w:val="15"/>
                <w:color w:val="auto"/>
              </w:rPr>
            </w:pPr>
          </w:p>
        </w:tc>
        <w:tc>
          <w:tcPr>
            <w:tcW w:w="700" w:type="dxa"/>
            <w:vAlign w:val="bottom"/>
            <w:gridSpan w:val="5"/>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23"/>
                <w:szCs w:val="23"/>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(23,781)</w:t>
            </w: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640" w:type="dxa"/>
            <w:vAlign w:val="bottom"/>
            <w:tcBorders>
              <w:top w:val="single" w:sz="8" w:color="auto"/>
              <w:right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tcBorders>
              <w:right w:val="single" w:sz="8" w:color="auto"/>
            </w:tcBorders>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1"/>
              </w:rPr>
              <w:t>67,846,188</w:t>
            </w:r>
          </w:p>
        </w:tc>
        <w:tc>
          <w:tcPr>
            <w:tcW w:w="2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w w:val="97"/>
              </w:rPr>
              <w:t>— $</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2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5"/>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8"/>
              </w:rPr>
              <w:t>(324,2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17" w:name="page218"/>
    <w:bookmarkEnd w:id="21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6"/>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300" w:type="dxa"/>
            <w:vAlign w:val="bottom"/>
            <w:tcBorders>
              <w:top w:val="single" w:sz="8" w:color="auto"/>
            </w:tcBorders>
            <w:gridSpan w:val="7"/>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Legacy SoundHound</w:t>
            </w:r>
          </w:p>
        </w:tc>
        <w:tc>
          <w:tcPr>
            <w:tcW w:w="1080" w:type="dxa"/>
            <w:vAlign w:val="bottom"/>
            <w:tcBorders>
              <w:top w:val="single" w:sz="8" w:color="auto"/>
            </w:tcBorders>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30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6"/>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300" w:type="dxa"/>
            <w:vAlign w:val="bottom"/>
            <w:gridSpan w:val="7"/>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80" w:type="dxa"/>
            <w:vAlign w:val="bottom"/>
            <w:gridSpan w:val="3"/>
          </w:tcPr>
          <w:p>
            <w:pPr>
              <w:jc w:val="right"/>
              <w:ind w:right="2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780" w:type="dxa"/>
            <w:vAlign w:val="bottom"/>
            <w:gridSpan w:val="7"/>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5"/>
                <w:szCs w:val="5"/>
                <w:color w:val="auto"/>
              </w:rPr>
            </w:pPr>
          </w:p>
        </w:tc>
        <w:tc>
          <w:tcPr>
            <w:tcW w:w="64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78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8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4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(343,23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279,504</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0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322,995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557,030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vesting of</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restricted stock</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units</w:t>
            </w:r>
          </w:p>
        </w:tc>
        <w:tc>
          <w:tcPr>
            <w:tcW w:w="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0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(84,693)</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1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10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157,296,065</w:t>
            </w:r>
          </w:p>
        </w:tc>
        <w:tc>
          <w:tcPr>
            <w:tcW w:w="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16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457,025</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(471,422)</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18" w:name="page219"/>
    <w:bookmarkEnd w:id="21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p>
      <w:pPr>
        <w:spacing w:after="0" w:line="25" w:lineRule="exact"/>
        <w:rPr>
          <w:sz w:val="20"/>
          <w:szCs w:val="20"/>
          <w:color w:val="auto"/>
        </w:rPr>
      </w:pPr>
    </w:p>
    <w:tbl>
      <w:tblPr>
        <w:tblLayout w:type="fixed"/>
        <w:tblInd w:w="60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jc w:val="right"/>
              <w:ind w:right="131"/>
              <w:spacing w:after="0" w:line="131" w:lineRule="exact"/>
              <w:rPr>
                <w:sz w:val="20"/>
                <w:szCs w:val="20"/>
                <w:color w:val="auto"/>
              </w:rPr>
            </w:pPr>
            <w:r>
              <w:rPr>
                <w:rFonts w:ascii="Times New Roman" w:cs="Times New Roman" w:eastAsia="Times New Roman" w:hAnsi="Times New Roman"/>
                <w:sz w:val="14"/>
                <w:szCs w:val="14"/>
                <w:b w:val="1"/>
                <w:bCs w:val="1"/>
                <w:color w:val="auto"/>
              </w:rPr>
              <w:t>Legacy SoundHound</w:t>
            </w:r>
          </w:p>
        </w:tc>
        <w:tc>
          <w:tcPr>
            <w:tcW w:w="6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40" w:type="dxa"/>
            <w:vAlign w:val="bottom"/>
            <w:gridSpan w:val="10"/>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 Legacy SoundHound</w:t>
            </w: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tcPr>
          <w:p>
            <w:pPr>
              <w:jc w:val="right"/>
              <w:ind w:right="271"/>
              <w:spacing w:after="0" w:line="143"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1040" w:type="dxa"/>
            <w:vAlign w:val="bottom"/>
            <w:gridSpan w:val="3"/>
          </w:tcPr>
          <w:p>
            <w:pPr>
              <w:ind w:left="12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1"/>
              </w:rPr>
              <w:t>Paid-in</w:t>
            </w:r>
          </w:p>
        </w:tc>
        <w:tc>
          <w:tcPr>
            <w:tcW w:w="1800" w:type="dxa"/>
            <w:vAlign w:val="bottom"/>
            <w:gridSpan w:val="9"/>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2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80" w:type="dxa"/>
            <w:vAlign w:val="bottom"/>
            <w:gridSpan w:val="1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80" w:type="dxa"/>
            <w:vAlign w:val="bottom"/>
            <w:gridSpan w:val="2"/>
            <w:vMerge w:val="continue"/>
          </w:tcPr>
          <w:p>
            <w:pPr>
              <w:spacing w:after="0"/>
              <w:rPr>
                <w:sz w:val="5"/>
                <w:szCs w:val="5"/>
                <w:color w:val="auto"/>
              </w:rPr>
            </w:pPr>
          </w:p>
        </w:tc>
        <w:tc>
          <w:tcPr>
            <w:tcW w:w="180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2680" w:type="dxa"/>
            <w:vAlign w:val="bottom"/>
            <w:gridSpan w:val="15"/>
            <w:vMerge w:val="continue"/>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60" w:type="dxa"/>
            <w:vAlign w:val="bottom"/>
            <w:tcBorders>
              <w:right w:val="single" w:sz="8" w:color="auto"/>
            </w:tcBorders>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42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2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(Note 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tcBorders>
              <w:top w:val="single" w:sz="8" w:color="CCEEFF"/>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2,178,412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shd w:val="clear" w:color="auto" w:fill="CCEEFF"/>
          </w:tcPr>
          <w:p>
            <w:pPr>
              <w:ind w:left="16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line="121"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340" w:type="dxa"/>
            <w:vAlign w:val="bottom"/>
            <w:gridSpan w:val="3"/>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60" w:type="dxa"/>
            <w:vAlign w:val="bottom"/>
            <w:shd w:val="clear" w:color="auto" w:fill="CCEEFF"/>
          </w:tcPr>
          <w:p>
            <w:pPr>
              <w:spacing w:after="0" w:line="121"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34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6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(57,693)</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(57,693)</w:t>
            </w:r>
          </w:p>
        </w:tc>
        <w:tc>
          <w:tcPr>
            <w:tcW w:w="0" w:type="dxa"/>
            <w:vAlign w:val="bottom"/>
          </w:tcPr>
          <w:p>
            <w:pPr>
              <w:spacing w:after="0"/>
              <w:rPr>
                <w:sz w:val="1"/>
                <w:szCs w:val="1"/>
                <w:color w:val="auto"/>
              </w:rPr>
            </w:pPr>
          </w:p>
        </w:tc>
      </w:tr>
      <w:tr>
        <w:trPr>
          <w:trHeight w:val="271"/>
        </w:trPr>
        <w:tc>
          <w:tcPr>
            <w:tcW w:w="20" w:type="dxa"/>
            <w:vAlign w:val="bottom"/>
            <w:vMerge w:val="restart"/>
          </w:tcPr>
          <w:p>
            <w:pPr>
              <w:spacing w:after="0"/>
              <w:rPr>
                <w:sz w:val="23"/>
                <w:szCs w:val="23"/>
                <w:color w:val="auto"/>
              </w:rPr>
            </w:pPr>
          </w:p>
        </w:tc>
        <w:tc>
          <w:tcPr>
            <w:tcW w:w="106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right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5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1060" w:type="dxa"/>
            <w:vAlign w:val="bottom"/>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60" w:type="dxa"/>
            <w:vAlign w:val="bottom"/>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67,846,188</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6"/>
                <w:szCs w:val="16"/>
                <w:color w:val="auto"/>
              </w:rPr>
            </w:pPr>
          </w:p>
        </w:tc>
        <w:tc>
          <w:tcPr>
            <w:tcW w:w="7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40,633</w:t>
            </w:r>
          </w:p>
        </w:tc>
        <w:tc>
          <w:tcPr>
            <w:tcW w:w="40" w:type="dxa"/>
            <w:vAlign w:val="bottom"/>
          </w:tcPr>
          <w:p>
            <w:pPr>
              <w:spacing w:after="0"/>
              <w:rPr>
                <w:sz w:val="16"/>
                <w:szCs w:val="16"/>
                <w:color w:val="auto"/>
              </w:rPr>
            </w:pP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(364,882)</w:t>
            </w:r>
          </w:p>
        </w:tc>
        <w:tc>
          <w:tcPr>
            <w:tcW w:w="40" w:type="dxa"/>
            <w:vAlign w:val="bottom"/>
          </w:tcPr>
          <w:p>
            <w:pPr>
              <w:spacing w:after="0"/>
              <w:rPr>
                <w:sz w:val="16"/>
                <w:szCs w:val="16"/>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w w:val="94"/>
              </w:rPr>
              <w:t>$ (324,248)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2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600"/>
          </w:cols>
          <w:pgMar w:left="1440" w:top="264" w:right="859" w:bottom="1440" w:gutter="0" w:footer="0" w:header="0"/>
        </w:sectPr>
      </w:pPr>
    </w:p>
    <w:bookmarkStart w:id="219" w:name="page220"/>
    <w:bookmarkEnd w:id="219"/>
    <w:p>
      <w:pPr>
        <w:spacing w:after="0" w:line="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67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17145</wp:posOffset>
            </wp:positionV>
            <wp:extent cx="151828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518285" cy="8255"/>
                    </a:xfrm>
                    <a:prstGeom prst="rect">
                      <a:avLst/>
                    </a:prstGeom>
                    <a:noFill/>
                  </pic:spPr>
                </pic:pic>
              </a:graphicData>
            </a:graphic>
          </wp:anchor>
        </w:drawing>
      </w:r>
    </w:p>
    <w:p>
      <w:pPr>
        <w:spacing w:after="0" w:line="87" w:lineRule="exact"/>
        <w:rPr>
          <w:sz w:val="20"/>
          <w:szCs w:val="20"/>
          <w:color w:val="auto"/>
        </w:rPr>
      </w:pPr>
    </w:p>
    <w:tbl>
      <w:tblPr>
        <w:tblLayout w:type="fixed"/>
        <w:tblInd w:w="60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(84,693)</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(57,693)</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 and warrant liability</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lease amortization</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net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(2,061)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expenses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Contract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Accrued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(3,085)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(2,710)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Deferred revenue</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(7,138)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liabilities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(747)</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(73,605)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(51,097)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convertible notes, net of issuance cost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note payable, net of issuance cost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the issuance of common stock upon exercise of options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Proceeds from Business Combination and PIPE, net of transaction costs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Payments on notes payable</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(7,450)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Payments on finance leases</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 equivalents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(16,433)</w:t>
            </w:r>
          </w:p>
        </w:tc>
        <w:tc>
          <w:tcPr>
            <w:tcW w:w="0" w:type="dxa"/>
            <w:vAlign w:val="bottom"/>
          </w:tcPr>
          <w:p>
            <w:pPr>
              <w:spacing w:after="0"/>
              <w:rPr>
                <w:sz w:val="1"/>
                <w:szCs w:val="1"/>
                <w:color w:val="auto"/>
              </w:rPr>
            </w:pPr>
          </w:p>
        </w:tc>
      </w:tr>
      <w:tr>
        <w:trPr>
          <w:trHeight w:val="24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beginning of period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equivalents, end of period</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Reconciliation to amounts on the condensed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33,412</w:t>
            </w:r>
          </w:p>
        </w:tc>
        <w:tc>
          <w:tcPr>
            <w:tcW w:w="120" w:type="dxa"/>
            <w:vAlign w:val="bottom"/>
          </w:tcPr>
          <w:p>
            <w:pPr>
              <w:spacing w:after="0"/>
              <w:rPr>
                <w:sz w:val="19"/>
                <w:szCs w:val="19"/>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Non-current portion of restricted cash equivalents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5320" w:type="dxa"/>
            <w:vAlign w:val="bottom"/>
            <w:shd w:val="clear" w:color="auto" w:fill="CCEEFF"/>
          </w:tcPr>
          <w:p>
            <w:pPr>
              <w:ind w:left="680"/>
              <w:spacing w:after="0" w:line="161" w:lineRule="exact"/>
              <w:rPr>
                <w:sz w:val="20"/>
                <w:szCs w:val="20"/>
                <w:color w:val="auto"/>
              </w:rPr>
            </w:pPr>
            <w:r>
              <w:rPr>
                <w:rFonts w:ascii="Times New Roman" w:cs="Times New Roman" w:eastAsia="Times New Roman" w:hAnsi="Times New Roman"/>
                <w:sz w:val="16"/>
                <w:szCs w:val="16"/>
                <w:color w:val="auto"/>
                <w:w w:val="98"/>
              </w:rPr>
              <w:t>Total cash, cash equivalents, and restricted cash equivalents shown in the</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33,642</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3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Cash paid for interest</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w:t>
            </w:r>
          </w:p>
        </w:tc>
        <w:tc>
          <w:tcPr>
            <w:tcW w:w="120" w:type="dxa"/>
            <w:vAlign w:val="bottom"/>
          </w:tcPr>
          <w:p>
            <w:pPr>
              <w:spacing w:after="0"/>
              <w:rPr>
                <w:sz w:val="23"/>
                <w:szCs w:val="23"/>
                <w:color w:val="auto"/>
              </w:rPr>
            </w:pP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32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Operating lease liabilities and right-of-use assets through adoption of</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32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ASC 842</w:t>
            </w:r>
          </w:p>
        </w:tc>
        <w:tc>
          <w:tcPr>
            <w:tcW w:w="320" w:type="dxa"/>
            <w:vAlign w:val="bottom"/>
            <w:gridSpan w:val="2"/>
          </w:tcPr>
          <w:p>
            <w:pPr>
              <w:jc w:val="right"/>
              <w:ind w:right="124"/>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Borders>
              <w:top w:val="single" w:sz="8" w:color="CCEEFF"/>
            </w:tcBorders>
            <w:shd w:val="clear" w:color="auto" w:fill="CCEEFF"/>
          </w:tcPr>
          <w:p>
            <w:pPr>
              <w:ind w:left="680"/>
              <w:spacing w:after="0" w:line="163" w:lineRule="exact"/>
              <w:rPr>
                <w:sz w:val="20"/>
                <w:szCs w:val="20"/>
                <w:color w:val="auto"/>
              </w:rPr>
            </w:pPr>
            <w:r>
              <w:rPr>
                <w:rFonts w:ascii="Times New Roman" w:cs="Times New Roman" w:eastAsia="Times New Roman" w:hAnsi="Times New Roman"/>
                <w:sz w:val="16"/>
                <w:szCs w:val="16"/>
                <w:color w:val="auto"/>
              </w:rPr>
              <w:t>Conversion of convertible note into common stock pursuant to Business</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20,239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64" w:right="1440" w:bottom="0" w:gutter="0" w:footer="0" w:header="0"/>
        </w:sectPr>
      </w:pPr>
    </w:p>
    <w:bookmarkStart w:id="220" w:name="page221"/>
    <w:bookmarkEnd w:id="220"/>
    <w:p>
      <w:pPr>
        <w:spacing w:after="0" w:line="1" w:lineRule="exact"/>
        <w:rPr>
          <w:sz w:val="20"/>
          <w:szCs w:val="20"/>
          <w:color w:val="auto"/>
        </w:rPr>
      </w:pPr>
    </w:p>
    <w:tbl>
      <w:tblPr>
        <w:tblLayout w:type="fixed"/>
        <w:tblInd w:w="620" w:type="dxa"/>
        <w:tblCellMar>
          <w:top w:w="0" w:type="dxa"/>
          <w:left w:w="0" w:type="dxa"/>
          <w:bottom w:w="0" w:type="dxa"/>
          <w:right w:w="0" w:type="dxa"/>
        </w:tblCellMar>
      </w:tblPr>
      <w:tr>
        <w:trPr>
          <w:trHeight w:val="165"/>
        </w:trPr>
        <w:tc>
          <w:tcPr>
            <w:tcW w:w="5300" w:type="dxa"/>
            <w:vAlign w:val="bottom"/>
            <w:tcBorders>
              <w:bottom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Combination</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continue"/>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5300" w:type="dxa"/>
            <w:vAlign w:val="bottom"/>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300" w:type="dxa"/>
            <w:vAlign w:val="bottom"/>
          </w:tcPr>
          <w:p>
            <w:pPr>
              <w:ind w:left="680"/>
              <w:spacing w:after="0" w:line="181" w:lineRule="exact"/>
              <w:rPr>
                <w:sz w:val="20"/>
                <w:szCs w:val="20"/>
                <w:color w:val="auto"/>
              </w:rPr>
            </w:pPr>
            <w:r>
              <w:rPr>
                <w:rFonts w:ascii="Times New Roman" w:cs="Times New Roman" w:eastAsia="Times New Roman" w:hAnsi="Times New Roman"/>
                <w:sz w:val="16"/>
                <w:szCs w:val="16"/>
                <w:color w:val="auto"/>
              </w:rPr>
              <w:t>Conversion of redeemable convertible preferred stock to common stock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30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pursuant to Business Combination</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279,503</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Debt discount through issuance of common stock warrants</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6"/>
                <w:szCs w:val="16"/>
                <w:color w:val="auto"/>
              </w:rPr>
              <w:t>Operating lease liabilities arising from obtaining right-of-use assets</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5300" w:type="dxa"/>
            <w:vAlign w:val="bottom"/>
            <w:vMerge w:val="continue"/>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6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vMerge w:val="restart"/>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Property and equipment acquired under finance leases or debt</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0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78" w:right="1440" w:bottom="1440" w:gutter="0" w:footer="0" w:header="0"/>
        </w:sectPr>
      </w:pPr>
    </w:p>
    <w:bookmarkStart w:id="221" w:name="page222"/>
    <w:bookmarkEnd w:id="22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120"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84" w:lineRule="exact"/>
        <w:rPr>
          <w:sz w:val="20"/>
          <w:szCs w:val="20"/>
          <w:color w:val="auto"/>
        </w:rPr>
      </w:pPr>
    </w:p>
    <w:p>
      <w:pPr>
        <w:ind w:left="1840" w:hanging="403"/>
        <w:spacing w:after="0"/>
        <w:tabs>
          <w:tab w:leader="none" w:pos="18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97"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84"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 financial statements included in this report reflect (i) the historical operating results of Legacy SoundHound</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2" w:name="page223"/>
    <w:bookmarkEnd w:id="22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9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$28.9 million and $84.7 million for the three and nine months ended September 30, 2022, respectively. As of September 30, 2022, the Company had an accumulated deficit of $471.4 million. Management expects to continue to incur additional substantial losses in the foreseeable future primarily as a result of research and development activities. The Company has historically funded its operations primarily through equity or debt financings.</w:t>
      </w:r>
    </w:p>
    <w:p>
      <w:pPr>
        <w:spacing w:after="0" w:line="11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Total cash and cash equivalents on hand as of September 30, 2022 was $33.4 million. Although the Company has incurred recurring losses each year since its inception, the Company expects it will be able to fund its operations for at least the next twelve months. The Company may seek additional funding through debt or equity financing arrangements (e.g., Equity Line of Credit (“ELOC”) (see Note 19)), implement incremental expense reduction measures or a combination thereof to continue financing its operations. Although management continues to pursue these plans, there is no assurance that the Company will be successful in obtaining sufficient funding on terms acceptable to the Company to fund continuing operations, if at all. The Company’s condensed consolidated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There is considerable uncertainty around potential future closings, shelter in place orders, containment of the recent COVID-19 variants and the ultimate impact of the CARES Act and other government initiatives.</w:t>
      </w:r>
    </w:p>
    <w:p>
      <w:pPr>
        <w:spacing w:after="0" w:line="3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3" w:name="page224"/>
    <w:bookmarkEnd w:id="22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Further, inflation has risen significantly worldwide and the United States has recently experienced historically high levels of inflation. This inflation and government efforts to combat inflation, such as recent and future significant increases to benchmark interest rates and other related monetary policies, have and could continue to increase market volatility and have an adverse effect on the domestic and international financial markets and general economic conditions.</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91" w:lineRule="exact"/>
        <w:rPr>
          <w:sz w:val="20"/>
          <w:szCs w:val="20"/>
          <w:color w:val="auto"/>
        </w:rPr>
      </w:pPr>
    </w:p>
    <w:p>
      <w:pPr>
        <w:ind w:left="1000" w:hanging="394"/>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8-K, which was originally filed with the SEC on May 2, 2022 and amended by Amendment No. 1 to Current Report on Form 8-K,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nine months ended September 30, 2022 are not necessarily indicative of the results for the fiscal year ending December 31, 2022 or any future interim period.</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4" w:name="page225"/>
    <w:bookmarkEnd w:id="22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We consolidate any variable interest entity (“VIE”) where we have determined we are the primary beneficiary. The primary beneficiary is the entity which has both: (i) the power to direct the activities of the VIE that most significantly impact the VIE’s economic performance; and (ii) the obligation to absorb losses or receive benefits of the entity that could potentially be significant to the VIE.</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nine months ended September 30, 2022, the Company recognized net losses related to foreign currency transactions and remeasurements of $0.1 million and $0.4 million, respectively, in the condensed consolidated statements of operations and comprehensive loss as other income (expense), net. During the three and nine months ended September 30, 2021, the Company recognized net losses related to foreign currency transactions and remeasurements of $0.3 million and $0.5 million, respectively, in the condensed consolidated statements of operations and comprehensive loss as other income (expense), net.</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5" w:name="page226"/>
    <w:bookmarkEnd w:id="22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September 30, 2022, accounts receivable balances due from two customers collectively totaled 65% of the Company’s condensed consolidated accounts receivable balance. As of December 31, 2021, accounts receivable balances due from five customers collectively totaled 86% of the Company’s condensed consolidated accounts receivable balance.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2022, the Company had four customers that accounted for 77% of revenue, and for the nine months ended September 30, 2021, the Company had two customers that accounted for 57% of revenue.</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three months ended September 30, 2022, the Company had one customer that accounted for 63% of revenue, and for the three months ended September 30, 2021, the Company had three customers that accounted for 50% of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$4.1 million of deferred offering costs.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7" w:lineRule="exact"/>
        <w:rPr>
          <w:sz w:val="20"/>
          <w:szCs w:val="20"/>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2"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rFonts w:ascii="Times New Roman" w:cs="Times New Roman" w:eastAsia="Times New Roman" w:hAnsi="Times New Roman"/>
          <w:sz w:val="17"/>
          <w:szCs w:val="17"/>
          <w:b w:val="1"/>
          <w:bCs w:val="1"/>
          <w:color w:val="auto"/>
        </w:rPr>
      </w:pPr>
    </w:p>
    <w:p>
      <w:pPr>
        <w:ind w:left="1820" w:hanging="383"/>
        <w:spacing w:after="0"/>
        <w:tabs>
          <w:tab w:leader="none" w:pos="182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5" w:lineRule="exact"/>
        <w:rPr>
          <w:rFonts w:ascii="Times New Roman" w:cs="Times New Roman" w:eastAsia="Times New Roman" w:hAnsi="Times New Roman"/>
          <w:sz w:val="17"/>
          <w:szCs w:val="17"/>
          <w:color w:val="auto"/>
        </w:rPr>
      </w:pPr>
    </w:p>
    <w:p>
      <w:pPr>
        <w:ind w:left="1800" w:hanging="363"/>
        <w:spacing w:after="0"/>
        <w:tabs>
          <w:tab w:leader="none" w:pos="180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September 30, 2022.</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3" w:lineRule="exact"/>
        <w:rPr>
          <w:sz w:val="20"/>
          <w:szCs w:val="20"/>
          <w:color w:val="auto"/>
        </w:rPr>
      </w:pPr>
    </w:p>
    <w:p>
      <w:pPr>
        <w:jc w:val="both"/>
        <w:ind w:left="1440" w:right="619"/>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19"/>
        <w:spacing w:after="0" w:line="295"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5" w:lineRule="exact"/>
        <w:rPr>
          <w:sz w:val="20"/>
          <w:szCs w:val="20"/>
          <w:color w:val="auto"/>
        </w:rPr>
      </w:pPr>
    </w:p>
    <w:p>
      <w:pPr>
        <w:ind w:left="1860" w:right="619" w:hanging="423"/>
        <w:spacing w:after="0" w:line="293"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0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nine months ended September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The Company adopted Topic 842 on January 1, 2021 using the modified retrospective approach, and financial information for the comparative period was not updated.</w:t>
      </w:r>
    </w:p>
    <w:p>
      <w:pPr>
        <w:spacing w:after="0" w:line="109"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spacing w:after="0" w:line="1" w:lineRule="exact"/>
        <w:rPr>
          <w:sz w:val="20"/>
          <w:szCs w:val="20"/>
          <w:color w:val="auto"/>
        </w:rPr>
      </w:pPr>
    </w:p>
    <w:p>
      <w:pPr>
        <w:jc w:val="both"/>
        <w:ind w:left="1020" w:right="619" w:firstLine="2"/>
        <w:spacing w:after="0" w:line="259" w:lineRule="auto"/>
        <w:tabs>
          <w:tab w:leader="none" w:pos="133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0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1" w:lineRule="exact"/>
        <w:rPr>
          <w:sz w:val="20"/>
          <w:szCs w:val="20"/>
          <w:color w:val="auto"/>
        </w:rPr>
      </w:pPr>
    </w:p>
    <w:p>
      <w:pPr>
        <w:jc w:val="both"/>
        <w:ind w:left="1860" w:right="619" w:hanging="423"/>
        <w:spacing w:after="0" w:line="274" w:lineRule="auto"/>
        <w:tabs>
          <w:tab w:leader="none" w:pos="18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 million,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23"/>
        <w:spacing w:after="0" w:line="266" w:lineRule="auto"/>
        <w:tabs>
          <w:tab w:leader="none" w:pos="1855"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 million which represent the operating lease liabilities of $11.4 million, adjusted for (1) deferred rent of approximately $0.8 million,</w:t>
      </w:r>
    </w:p>
    <w:p>
      <w:pPr>
        <w:ind w:left="1860" w:right="619" w:hanging="7"/>
        <w:spacing w:after="0" w:line="270" w:lineRule="auto"/>
        <w:tabs>
          <w:tab w:leader="none" w:pos="2116"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 incentives or tenant improvement allowance of $1.1 million and (3) prepaid rent of $0.3 million.</w:t>
      </w:r>
    </w:p>
    <w:p>
      <w:pPr>
        <w:spacing w:after="0" w:line="100" w:lineRule="exact"/>
        <w:rPr>
          <w:sz w:val="20"/>
          <w:szCs w:val="20"/>
          <w:color w:val="auto"/>
        </w:rPr>
      </w:pPr>
    </w:p>
    <w:p>
      <w:pPr>
        <w:jc w:val="both"/>
        <w:ind w:left="1020" w:right="619"/>
        <w:spacing w:after="0" w:line="285"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Company adopted the standard on January 1, 2022. ASU 2019-12 did not result in any material impact on the Company’s condensed consolidated financial statements.</w:t>
      </w:r>
    </w:p>
    <w:p>
      <w:pPr>
        <w:spacing w:after="0" w:line="3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1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anticipates that it will not have a material impact on its condensed consolidated financial statements and related disclosures.</w:t>
      </w:r>
    </w:p>
    <w:p>
      <w:pPr>
        <w:spacing w:after="0" w:line="175" w:lineRule="exact"/>
        <w:rPr>
          <w:sz w:val="20"/>
          <w:szCs w:val="20"/>
          <w:color w:val="auto"/>
        </w:rPr>
      </w:pPr>
    </w:p>
    <w:p>
      <w:pPr>
        <w:ind w:left="1000" w:hanging="394"/>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September 30, 2022.</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$127.7 million in the aggregate.</w:t>
      </w:r>
    </w:p>
    <w:p>
      <w:pPr>
        <w:spacing w:after="0" w:line="9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1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 million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1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$90.7 million. The table below shows the total net proceeds from the Business Combination and the PIPE Investment (in thousands):</w:t>
      </w:r>
    </w:p>
    <w:p>
      <w:pPr>
        <w:spacing w:after="0" w:line="200" w:lineRule="exact"/>
        <w:rPr>
          <w:sz w:val="20"/>
          <w:szCs w:val="20"/>
          <w:color w:val="auto"/>
        </w:rPr>
      </w:pPr>
    </w:p>
    <w:p>
      <w:pPr>
        <w:spacing w:after="0" w:line="227"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Cash – PIPE Investment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780" w:type="dxa"/>
            <w:vAlign w:val="bottom"/>
            <w:gridSpan w:val="2"/>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w:t>
            </w: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(27,668)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0" w:type="dxa"/>
            <w:vAlign w:val="bottom"/>
          </w:tcPr>
          <w:p>
            <w:pPr>
              <w:spacing w:after="0"/>
              <w:rPr>
                <w:sz w:val="20"/>
                <w:szCs w:val="20"/>
                <w:color w:val="auto"/>
              </w:rPr>
            </w:pPr>
          </w:p>
        </w:tc>
        <w:tc>
          <w:tcPr>
            <w:tcW w:w="5380" w:type="dxa"/>
            <w:vAlign w:val="bottom"/>
            <w:vMerge w:val="continue"/>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380" w:type="dxa"/>
            <w:vAlign w:val="bottom"/>
            <w:vMerge w:val="restart"/>
          </w:tcPr>
          <w:p>
            <w:pPr>
              <w:ind w:left="3280"/>
              <w:spacing w:after="0"/>
              <w:rPr>
                <w:sz w:val="20"/>
                <w:szCs w:val="20"/>
                <w:color w:val="auto"/>
              </w:rPr>
            </w:pPr>
            <w:r>
              <w:rPr>
                <w:rFonts w:ascii="Times New Roman" w:cs="Times New Roman" w:eastAsia="Times New Roman" w:hAnsi="Times New Roman"/>
                <w:sz w:val="17"/>
                <w:szCs w:val="17"/>
                <w:color w:val="auto"/>
              </w:rPr>
              <w:t>F-103</w:t>
            </w:r>
          </w:p>
        </w:tc>
        <w:tc>
          <w:tcPr>
            <w:tcW w:w="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32" w:name="page233"/>
    <w:bookmarkEnd w:id="23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$27.7 million in total transaction costs consisting of direct legal, accounting and other fees. $4.1 million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$86.6 million net proceeds from the PIPE investment and $4.1 million after net redemptions of ATSP shareholders.</w:t>
      </w:r>
    </w:p>
    <w:p>
      <w:pPr>
        <w:spacing w:after="0" w:line="68"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200" w:lineRule="exact"/>
        <w:rPr>
          <w:sz w:val="20"/>
          <w:szCs w:val="20"/>
          <w:color w:val="auto"/>
        </w:rPr>
      </w:pPr>
    </w:p>
    <w:p>
      <w:pPr>
        <w:spacing w:after="0" w:line="20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 Legacy</w:t>
            </w:r>
          </w:p>
        </w:tc>
        <w:tc>
          <w:tcPr>
            <w:tcW w:w="1160" w:type="dxa"/>
            <w:vAlign w:val="bottom"/>
            <w:shd w:val="clear" w:color="auto" w:fill="CCEEFF"/>
          </w:tcPr>
          <w:p>
            <w:pPr>
              <w:spacing w:after="0"/>
              <w:rPr>
                <w:sz w:val="17"/>
                <w:szCs w:val="17"/>
                <w:color w:val="auto"/>
              </w:rPr>
            </w:pPr>
          </w:p>
        </w:tc>
      </w:tr>
      <w:tr>
        <w:trPr>
          <w:trHeight w:val="245"/>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140,114,060</w:t>
            </w:r>
          </w:p>
        </w:tc>
      </w:tr>
      <w:tr>
        <w:trPr>
          <w:trHeight w:val="190"/>
        </w:trPr>
        <w:tc>
          <w:tcPr>
            <w:tcW w:w="20" w:type="dxa"/>
            <w:vAlign w:val="bottom"/>
          </w:tcPr>
          <w:p>
            <w:pPr>
              <w:spacing w:after="0"/>
              <w:rPr>
                <w:sz w:val="16"/>
                <w:szCs w:val="16"/>
                <w:color w:val="auto"/>
              </w:rPr>
            </w:pPr>
          </w:p>
        </w:tc>
        <w:tc>
          <w:tcPr>
            <w:tcW w:w="66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Class B Common Stock – conversion of Legacy SoundHound Common Stock and Legacy</w:t>
            </w:r>
          </w:p>
        </w:tc>
        <w:tc>
          <w:tcPr>
            <w:tcW w:w="116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40,396,600</w:t>
            </w: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r>
      <w:tr>
        <w:trPr>
          <w:trHeight w:val="253"/>
        </w:trPr>
        <w:tc>
          <w:tcPr>
            <w:tcW w:w="20" w:type="dxa"/>
            <w:vAlign w:val="bottom"/>
          </w:tcPr>
          <w:p>
            <w:pPr>
              <w:spacing w:after="0"/>
              <w:rPr>
                <w:sz w:val="21"/>
                <w:szCs w:val="21"/>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11,300,000</w:t>
            </w: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532,050</w:t>
            </w:r>
          </w:p>
        </w:tc>
      </w:tr>
      <w:tr>
        <w:trPr>
          <w:trHeight w:val="39"/>
        </w:trPr>
        <w:tc>
          <w:tcPr>
            <w:tcW w:w="664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r>
      <w:tr>
        <w:trPr>
          <w:trHeight w:val="273"/>
        </w:trPr>
        <w:tc>
          <w:tcPr>
            <w:tcW w:w="20" w:type="dxa"/>
            <w:vAlign w:val="bottom"/>
          </w:tcPr>
          <w:p>
            <w:pPr>
              <w:spacing w:after="0"/>
              <w:rPr>
                <w:sz w:val="23"/>
                <w:szCs w:val="23"/>
                <w:color w:val="auto"/>
              </w:rPr>
            </w:pPr>
          </w:p>
        </w:tc>
        <w:tc>
          <w:tcPr>
            <w:tcW w:w="6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Legacy SoundHound founders and representatives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4,161,000</w:t>
            </w:r>
          </w:p>
        </w:tc>
      </w:tr>
      <w:tr>
        <w:trPr>
          <w:trHeight w:val="233"/>
        </w:trPr>
        <w:tc>
          <w:tcPr>
            <w:tcW w:w="6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196,503,710</w:t>
            </w: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00" w:hanging="394"/>
        <w:spacing w:after="0"/>
        <w:tabs>
          <w:tab w:leader="none" w:pos="10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September 30, 2022, $0.4 million of professional service revenue was recognized over time, with the remaining $0.3 million recognized at a point in time when the performance obligation was fulfilled and control of the service was transferred to the customer. During the nine months ended September 30, 2022, $1.2 million of professional service revenue was recognized over time, with the remaining $1.4 million recognized at a point in time when the performance obligation was fulfilled and control of the service was transferred to the customer.</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7" w:lineRule="exact"/>
        <w:rPr>
          <w:sz w:val="20"/>
          <w:szCs w:val="20"/>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5" w:lineRule="exact"/>
        <w:rPr>
          <w:rFonts w:ascii="Times New Roman" w:cs="Times New Roman" w:eastAsia="Times New Roman" w:hAnsi="Times New Roman"/>
          <w:sz w:val="17"/>
          <w:szCs w:val="17"/>
          <w:color w:val="auto"/>
        </w:rPr>
      </w:pPr>
    </w:p>
    <w:p>
      <w:pPr>
        <w:ind w:left="1840" w:hanging="403"/>
        <w:spacing w:after="0"/>
        <w:tabs>
          <w:tab w:leader="none" w:pos="18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2"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55"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revenues under each performance obligation were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12,672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5,329</w:t>
            </w: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47"/>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Licensing</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4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geographic location was as follows (in thousands):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60" w:type="dxa"/>
            <w:vAlign w:val="bottom"/>
            <w:tcBorders>
              <w:bottom w:val="single" w:sz="8" w:color="CCEEFF"/>
            </w:tcBorders>
          </w:tcPr>
          <w:p>
            <w:pPr>
              <w:spacing w:after="0"/>
              <w:rPr>
                <w:sz w:val="3"/>
                <w:szCs w:val="3"/>
                <w:color w:val="auto"/>
              </w:rPr>
            </w:pPr>
          </w:p>
        </w:tc>
        <w:tc>
          <w:tcPr>
            <w:tcW w:w="12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3,586</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7,034</w:t>
            </w:r>
          </w:p>
        </w:tc>
      </w:t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899</w:t>
            </w:r>
          </w:p>
        </w:tc>
      </w:tr>
      <w:tr>
        <w:trPr>
          <w:trHeight w:val="39"/>
        </w:trPr>
        <w:tc>
          <w:tcPr>
            <w:tcW w:w="2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r>
      <w:tr>
        <w:trPr>
          <w:trHeight w:val="247"/>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6"/>
        </w:trPr>
        <w:tc>
          <w:tcPr>
            <w:tcW w:w="2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5" w:name="page236"/>
    <w:bookmarkEnd w:id="23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ind w:left="600" w:right="639" w:firstLine="416"/>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disaggregated revenue by recognition pattern was as follows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3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34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33"/>
        </w:trPr>
        <w:tc>
          <w:tcPr>
            <w:tcW w:w="2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0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10,513</w:t>
            </w:r>
          </w:p>
        </w:tc>
      </w:tr>
      <w:tr>
        <w:trPr>
          <w:trHeight w:val="247"/>
        </w:trPr>
        <w:tc>
          <w:tcPr>
            <w:tcW w:w="23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5,533</w:t>
            </w:r>
          </w:p>
        </w:tc>
      </w:tr>
      <w:tr>
        <w:trPr>
          <w:trHeight w:val="26"/>
        </w:trPr>
        <w:tc>
          <w:tcPr>
            <w:tcW w:w="23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16,046</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 platform to fit customers’ specific needs. Revenue from Monetization is generated from the SoundHound music identification app and is primarily attributable to user ad impression revenue. For the three and nine months ended September 30, 2022 and 2021, the disaggregated revenue by service type was as follows (in thousands):</w:t>
      </w:r>
    </w:p>
    <w:p>
      <w:pPr>
        <w:spacing w:after="0" w:line="145"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5"/>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44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9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19,534</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13,833</w:t>
            </w:r>
          </w:p>
        </w:tc>
        <w:tc>
          <w:tcPr>
            <w:tcW w:w="0" w:type="dxa"/>
            <w:vAlign w:val="bottom"/>
          </w:tcPr>
          <w:p>
            <w:pPr>
              <w:spacing w:after="0"/>
              <w:rPr>
                <w:sz w:val="1"/>
                <w:szCs w:val="1"/>
                <w:color w:val="auto"/>
              </w:rPr>
            </w:pP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9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0" w:type="dxa"/>
            <w:vAlign w:val="bottom"/>
          </w:tcPr>
          <w:p>
            <w:pPr>
              <w:spacing w:after="0"/>
              <w:rPr>
                <w:sz w:val="1"/>
                <w:szCs w:val="1"/>
                <w:color w:val="auto"/>
              </w:rPr>
            </w:pPr>
          </w:p>
        </w:tc>
      </w:tr>
      <w:tr>
        <w:trPr>
          <w:trHeight w:val="20"/>
        </w:trPr>
        <w:tc>
          <w:tcPr>
            <w:tcW w:w="2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440" w:type="dxa"/>
            <w:vAlign w:val="bottom"/>
            <w:vMerge w:val="continue"/>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11,186</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4,028</w:t>
            </w:r>
          </w:p>
        </w:tc>
        <w:tc>
          <w:tcPr>
            <w:tcW w:w="26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21,628</w:t>
            </w:r>
          </w:p>
        </w:tc>
        <w:tc>
          <w:tcPr>
            <w:tcW w:w="80" w:type="dxa"/>
            <w:vAlign w:val="bottom"/>
          </w:tcPr>
          <w:p>
            <w:pPr>
              <w:spacing w:after="0"/>
              <w:rPr>
                <w:sz w:val="20"/>
                <w:szCs w:val="20"/>
                <w:color w:val="auto"/>
              </w:rPr>
            </w:pPr>
          </w:p>
        </w:tc>
        <w:tc>
          <w:tcPr>
            <w:tcW w:w="200" w:type="dxa"/>
            <w:vAlign w:val="bottom"/>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 During the three and nine months ended September 30, 2022, we recognized $5.3 million of licensing revenue from our Houndify Edge solution, which we delivered to a customer during the three months ended September 30, 2022, related to minimum guarantee units to be utilized over the life of the contract and resulted in a corresponding increase in our Contract assets balance. The Company has not recorded any asset impairment charges related to contract assets during the periods presented in the condensed consolidated financial statements.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nine months ended September 30, 2022, was $2.0 million and $5.4 million, respectively, as compared to $2.3 million and $7.4 million for the three and nine months ended September 30, 2021, respectively.</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As of September 30, 2022, the aggregate amount of the transaction price allocated to the remaining performance obligations related to customer contracts that were unsatisfied or partially unsatisfied was $23.4 million. Given the applicable contract terms, $10.4 million is expected to be recognized as revenue within one year, $9.6 million is expected to be recognized between two to five years and the remainder of $3.4 million is expected to be recognized after five years. This amount does not include contracts to which the customer is not committed, contracts for which the Company recognizes revenue equal to the amount the Company has the right to invoice</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6" w:name="page237"/>
    <w:bookmarkEnd w:id="23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0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68" w:lineRule="exact"/>
        <w:rPr>
          <w:sz w:val="20"/>
          <w:szCs w:val="20"/>
          <w:color w:val="auto"/>
        </w:rPr>
      </w:pPr>
    </w:p>
    <w:p>
      <w:pPr>
        <w:ind w:left="1000" w:hanging="394"/>
        <w:spacing w:after="0"/>
        <w:tabs>
          <w:tab w:leader="none" w:pos="100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 (in thousands):</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34,833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7"/>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(30,687)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04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$0.9 million and $7.0 million as of September 30, 2022 and December 31, 2021, respectively, and accumulated depreciation of approximately $0.4 million and $4.3 million as of September 30, 2022 and December 31, 2021, respectively. Depreciation and amortization expense totaled approximately $0.9 million and $3.2 million for the three and nine months ended September 30, 2022, respectively, as compared to $1.3 million and $4.2 million for the three and nine months ended September 30, 2021, respectively.</w:t>
      </w:r>
    </w:p>
    <w:p>
      <w:pPr>
        <w:spacing w:after="0" w:line="173" w:lineRule="exact"/>
        <w:rPr>
          <w:sz w:val="20"/>
          <w:szCs w:val="20"/>
          <w:color w:val="auto"/>
        </w:rPr>
      </w:pPr>
    </w:p>
    <w:p>
      <w:pPr>
        <w:ind w:left="980" w:hanging="374"/>
        <w:spacing w:after="0"/>
        <w:tabs>
          <w:tab w:leader="none" w:pos="98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 (in thousands):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2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interest</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1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2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1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6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438"/>
              <w:spacing w:after="0"/>
              <w:rPr>
                <w:sz w:val="20"/>
                <w:szCs w:val="20"/>
                <w:color w:val="auto"/>
              </w:rPr>
            </w:pPr>
            <w:r>
              <w:rPr>
                <w:rFonts w:ascii="Times New Roman" w:cs="Times New Roman" w:eastAsia="Times New Roman" w:hAnsi="Times New Roman"/>
                <w:sz w:val="17"/>
                <w:szCs w:val="17"/>
                <w:color w:val="auto"/>
              </w:rPr>
              <w:t>F-108</w:t>
            </w: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37" w:name="page238"/>
    <w:bookmarkEnd w:id="23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4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 million in cloud costs over a seven-year period subject to variable increases based on usage.</w:t>
      </w:r>
    </w:p>
    <w:p>
      <w:pPr>
        <w:spacing w:after="0" w:line="9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payments were as follows as of September 30, 2022 (in thousands):</w:t>
      </w:r>
    </w:p>
    <w:p>
      <w:pPr>
        <w:spacing w:after="0" w:line="399" w:lineRule="exact"/>
        <w:rPr>
          <w:sz w:val="20"/>
          <w:szCs w:val="20"/>
          <w:color w:val="auto"/>
        </w:rPr>
      </w:pPr>
    </w:p>
    <w:tbl>
      <w:tblPr>
        <w:tblLayout w:type="fixed"/>
        <w:tblInd w:w="1020" w:type="dxa"/>
        <w:tblCellMar>
          <w:top w:w="0" w:type="dxa"/>
          <w:left w:w="0" w:type="dxa"/>
          <w:bottom w:w="0" w:type="dxa"/>
          <w:right w:w="0" w:type="dxa"/>
        </w:tblCellMar>
      </w:tblP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28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2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39"/>
        </w:trPr>
        <w:tc>
          <w:tcPr>
            <w:tcW w:w="3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3"/>
        </w:trPr>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2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47"/>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Thereafter</w:t>
            </w:r>
          </w:p>
        </w:tc>
        <w:tc>
          <w:tcPr>
            <w:tcW w:w="2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6"/>
        </w:trPr>
        <w:tc>
          <w:tcPr>
            <w:tcW w:w="376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2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97,000</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 million as of September 30, 2022 and December 31, 2021.</w:t>
      </w:r>
    </w:p>
    <w:p>
      <w:pPr>
        <w:spacing w:after="0" w:line="178" w:lineRule="exact"/>
        <w:rPr>
          <w:sz w:val="20"/>
          <w:szCs w:val="20"/>
          <w:color w:val="auto"/>
        </w:rPr>
      </w:pPr>
    </w:p>
    <w:p>
      <w:pPr>
        <w:ind w:left="1000" w:hanging="394"/>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September 30, 2022 and December 31, 2021, the fair value of the warrant liability was $0.</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 million and $1.5 million, respectively. The warrants had a ten-year expiration date from the applicable closing date of March 2031 and June 2031, respectively.</w:t>
      </w:r>
    </w:p>
    <w:p>
      <w:pPr>
        <w:spacing w:after="0" w:line="115"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1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As of September 30, 2022, there were 3,457,996 Public Warrants issued and outstanding.</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9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20" w:right="4339" w:hanging="414"/>
        <w:spacing w:after="0" w:line="423" w:lineRule="auto"/>
        <w:tabs>
          <w:tab w:leader="none" w:pos="994"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b w:val="1"/>
          <w:bCs w:val="1"/>
          <w:i w:val="1"/>
          <w:iCs w:val="1"/>
          <w:color w:val="auto"/>
        </w:rPr>
        <w:t>SNAP June 2020 Note</w:t>
      </w:r>
    </w:p>
    <w:p>
      <w:pPr>
        <w:spacing w:after="0" w:line="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 million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 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w:t>
      </w:r>
    </w:p>
    <w:p>
      <w:pPr>
        <w:jc w:val="both"/>
        <w:ind w:left="1020" w:right="619" w:firstLine="2"/>
        <w:spacing w:after="0" w:line="262" w:lineRule="auto"/>
        <w:tabs>
          <w:tab w:leader="none" w:pos="127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additional closings, 0.80 times the price per share paid by investors purchasing equity securities in the Qualified Financing. The SNAP June 2020 Note Qualified Financing shall be at least $30.0 million, which excludes the conversion of the SNAP June 2020 Note and any other indebtedness.</w:t>
      </w:r>
    </w:p>
    <w:p>
      <w:pPr>
        <w:spacing w:after="0" w:line="95"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81" w:lineRule="exact"/>
        <w:rPr>
          <w:sz w:val="20"/>
          <w:szCs w:val="20"/>
          <w:color w:val="auto"/>
        </w:rPr>
      </w:pPr>
    </w:p>
    <w:p>
      <w:pPr>
        <w:ind w:left="1860" w:right="619" w:hanging="423"/>
        <w:spacing w:after="0" w:line="293" w:lineRule="auto"/>
        <w:tabs>
          <w:tab w:leader="none" w:pos="18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5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8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September 2020 was $2.5 million,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10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 million. The Company amortized the aggregate debt discount using the effective interest method. The Company recognized total interest expense of $0.7 million associated with the SNAP June 2020 Note for the nine months ended September 30, 2022, out of which $0.4 million relates to the amortization of the debt discount. The Company recognized total interest expense of $0.5 million and $1.5 million associated with the SNAP June 2020 Note for the three and nine months ended September 30, 2021, respectively, out of which $0.3 million and $0.9 million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 million, excluding the face value of the SNAP June 2020 Note (“SNAP June 2020 Note Qualified Financing”).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0" w:name="page241"/>
    <w:bookmarkEnd w:id="24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 million and accrued interest of $1.4 million were converted into 368,384 shares of Class A Common Stock. In addition, the remaining debt discount of $0.2 million and related derivative liability with fair value of $4.1 million as of the Closing Date were extinguished.</w:t>
      </w:r>
    </w:p>
    <w:p>
      <w:pPr>
        <w:spacing w:after="0" w:line="110"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 (in thousands).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3"/>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 million along with the issuance of warrants to purchase 127,570 shares of Legacy SoundHound’s common stock. The warrant’s allocated fair value was $2.3 million at issuance. The SVB March 2021 Note also contains a final payment provision of $1.1 million.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1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recorded stated interest expense in the condensed consolidated statements of operations and comprehensive loss for the three and nine months ended September 30, 2022 of $0.7 million and $2.1 million, respectively, of which $0.2 million remained unpaid as accrued interest at September 30, 2022. During the three and nine months ended September 30, 2021, the Company recorded interest expense of $0.7 million and $1.4 million, respectively, of which $0.2 million remained unpaid as accrued interest at September 30, 2021. The total amount of debt discount at issuance was $3.5 million. As of September 30, 2022 and December 31, 2021, the unamortized debt discount totaled $0.1 million and $1.1 million, respectively. During the three and nine months ended September 30, 2022, the Company recorded a nominal amount and $1.0 million in interest expense related to the debt discounts, respectively. During the three and nine months ended September 30, 2021, the Company recorded $0.8 million and $1.6 million in interest expense related to the debt discounts, respectively.</w:t>
      </w:r>
    </w:p>
    <w:p>
      <w:pPr>
        <w:spacing w:after="0" w:line="9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1" w:name="page242"/>
    <w:bookmarkEnd w:id="24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$13.1 million of the balance as long-term and $12.0 million of the balance as short-term as of September 30, 2022 compared to the entirety of the balance as short-term as of December 31, 2021.</w:t>
      </w:r>
    </w:p>
    <w:p>
      <w:pPr>
        <w:spacing w:after="0" w:line="16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 million increments up to a total commitment amount of $15.0 million. The Company drew an initial $5.0 million on June 14, 2021 and the remaining $10.0 million on December 1, 2021. The SCI June 2021 Note also contains a final payment provision of 3.5% on each draw or $0.5 million in total. Additionally, warrants were issued alongside the convertible note to purchase 63,785 shares of Legacy SoundHound’s common stock. The warrant’s allocated fair value was $1.5 million at issuance. The Company recorded the final payment as an increase to the principal balance and debt discount for the entire payment amount upon each draw.</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the warrants and discounts of $2.2 million are directly attributable to the total commitment of $15.0 million,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a nominal amount and $0.8 million in interest expense related to the debt discounts during the three and nine months ended September 30, 2022, respectively, and $0.4 million and $0.6 million in interest expense related to the debt discounts during the three and nine months ended September 30, 2021, respectively. As of September 30, 2022 and December 31, 2021, the unamortized debt discount totaled $0.3 million and $1.1 million, respectively.</w:t>
      </w:r>
    </w:p>
    <w:p>
      <w:pPr>
        <w:spacing w:after="0" w:line="11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September 30, 2022, the interest rate was 12.0%. Payments were interest-only for the first twelve months and are now principal and interest through maturity. The Company incurred and paid $0.4 million and $1.1 million in stated interest in the condensed consolidated statements of operations and comprehensive loss for the three and nine months ended September 30, 2022, respectively, and $0.1 million in stated interest during both the three and nine months ended September 30, 2021.</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loan amortization date was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96"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$9.5 million of the balance as long-term and $4.6 million of the balance as short-term as of September 30, 2022 compared to the entirety of the balance as short-term as of December 31, 2021. Additionally,</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as the Company and its Agent did not mutually consent to the equity conversion that could have been triggered by the Business Combination, the conversion feature no longer existed subsequent to the Closing Date. As of September 30, 2022, the SCI June 2021 Note was classified as a note payable.</w:t>
      </w:r>
    </w:p>
    <w:p>
      <w:pPr>
        <w:spacing w:after="0" w:line="97"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below tables summarize the Company’s debt balances as of September 30, 2022 and December 31, 2021 (in thousands):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rPr>
              <w:t>SVB</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96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9,479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22,529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vMerge w:val="continue"/>
          </w:tcPr>
          <w:p>
            <w:pPr>
              <w:spacing w:after="0"/>
              <w:rPr>
                <w:sz w:val="23"/>
                <w:szCs w:val="23"/>
                <w:color w:val="auto"/>
              </w:rPr>
            </w:pPr>
          </w:p>
        </w:tc>
        <w:tc>
          <w:tcPr>
            <w:tcW w:w="3960" w:type="dxa"/>
            <w:vAlign w:val="bottom"/>
            <w:vMerge w:val="continue"/>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24,969</w:t>
            </w:r>
          </w:p>
        </w:tc>
        <w:tc>
          <w:tcPr>
            <w:tcW w:w="12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14,072</w:t>
            </w:r>
          </w:p>
        </w:tc>
        <w:tc>
          <w:tcPr>
            <w:tcW w:w="80" w:type="dxa"/>
            <w:vAlign w:val="bottom"/>
          </w:tcPr>
          <w:p>
            <w:pPr>
              <w:spacing w:after="0"/>
              <w:rPr>
                <w:sz w:val="23"/>
                <w:szCs w:val="23"/>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39,041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398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440"/>
              <w:spacing w:after="0" w:line="172"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gridSpan w:val="5"/>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gridSpan w:val="7"/>
          </w:tcPr>
          <w:p>
            <w:pPr>
              <w:jc w:val="center"/>
              <w:ind w:left="657"/>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120"/>
              <w:spacing w:after="0" w:line="172"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980" w:type="dxa"/>
            <w:vAlign w:val="bottom"/>
            <w:gridSpan w:val="2"/>
          </w:tcPr>
          <w:p>
            <w:pPr>
              <w:spacing w:after="0"/>
              <w:rPr>
                <w:sz w:val="3"/>
                <w:szCs w:val="3"/>
                <w:color w:val="auto"/>
              </w:rPr>
            </w:pPr>
          </w:p>
        </w:tc>
        <w:tc>
          <w:tcPr>
            <w:tcW w:w="5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57" w:lineRule="exact"/>
        <w:rPr>
          <w:sz w:val="20"/>
          <w:szCs w:val="20"/>
          <w:color w:val="auto"/>
        </w:rPr>
      </w:pPr>
    </w:p>
    <w:p>
      <w:pPr>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 (in thousands):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r>
      <w:tr>
        <w:trPr>
          <w:trHeight w:val="205"/>
        </w:trPr>
        <w:tc>
          <w:tcPr>
            <w:tcW w:w="3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5"/>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September 30, 2022</w:t>
            </w:r>
          </w:p>
        </w:tc>
        <w:tc>
          <w:tcPr>
            <w:tcW w:w="1000" w:type="dxa"/>
            <w:vAlign w:val="bottom"/>
          </w:tcPr>
          <w:p>
            <w:pPr>
              <w:spacing w:after="0"/>
              <w:rPr>
                <w:sz w:val="17"/>
                <w:szCs w:val="17"/>
                <w:color w:val="auto"/>
              </w:rPr>
            </w:pPr>
          </w:p>
        </w:tc>
      </w:tr>
      <w:tr>
        <w:trPr>
          <w:trHeight w:val="45"/>
        </w:trPr>
        <w:tc>
          <w:tcPr>
            <w:tcW w:w="38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1"/>
        </w:trPr>
        <w:tc>
          <w:tcPr>
            <w:tcW w:w="3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70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46"/>
        </w:trPr>
        <w:tc>
          <w:tcPr>
            <w:tcW w:w="380" w:type="dxa"/>
            <w:vAlign w:val="bottom"/>
          </w:tcPr>
          <w:p>
            <w:pPr>
              <w:spacing w:after="0"/>
              <w:rPr>
                <w:sz w:val="21"/>
                <w:szCs w:val="21"/>
                <w:color w:val="auto"/>
              </w:rPr>
            </w:pPr>
          </w:p>
        </w:tc>
        <w:tc>
          <w:tcPr>
            <w:tcW w:w="2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7"/>
        </w:trPr>
        <w:tc>
          <w:tcPr>
            <w:tcW w:w="380" w:type="dxa"/>
            <w:vAlign w:val="bottom"/>
          </w:tcPr>
          <w:p>
            <w:pPr>
              <w:spacing w:after="0"/>
              <w:rPr>
                <w:sz w:val="21"/>
                <w:szCs w:val="21"/>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2300" w:type="dxa"/>
            <w:vAlign w:val="bottom"/>
            <w:gridSpan w:val="2"/>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6"/>
        </w:trPr>
        <w:tc>
          <w:tcPr>
            <w:tcW w:w="38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2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2300" w:type="dxa"/>
            <w:vAlign w:val="bottom"/>
            <w:gridSpan w:val="2"/>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r>
      <w:tr>
        <w:trPr>
          <w:trHeight w:val="20"/>
        </w:trPr>
        <w:tc>
          <w:tcPr>
            <w:tcW w:w="38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2"/>
          </w:tcPr>
          <w:p>
            <w:pPr>
              <w:jc w:val="right"/>
              <w:ind w:right="842"/>
              <w:spacing w:after="0"/>
              <w:rPr>
                <w:sz w:val="20"/>
                <w:szCs w:val="20"/>
                <w:color w:val="auto"/>
              </w:rPr>
            </w:pPr>
            <w:r>
              <w:rPr>
                <w:rFonts w:ascii="Times New Roman" w:cs="Times New Roman" w:eastAsia="Times New Roman" w:hAnsi="Times New Roman"/>
                <w:sz w:val="17"/>
                <w:szCs w:val="17"/>
                <w:color w:val="auto"/>
              </w:rPr>
              <w:t>F-114</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3" w:name="page244"/>
    <w:bookmarkEnd w:id="24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6"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3061970</wp:posOffset>
            </wp:positionH>
            <wp:positionV relativeFrom="paragraph">
              <wp:posOffset>35560</wp:posOffset>
            </wp:positionV>
            <wp:extent cx="22771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277110" cy="8255"/>
                    </a:xfrm>
                    <a:prstGeom prst="rect">
                      <a:avLst/>
                    </a:prstGeom>
                    <a:noFill/>
                  </pic:spPr>
                </pic:pic>
              </a:graphicData>
            </a:graphic>
          </wp:anchor>
        </w:drawing>
      </w:r>
    </w:p>
    <w:p>
      <w:pPr>
        <w:spacing w:after="0" w:line="7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45"/>
        </w:trPr>
        <w:tc>
          <w:tcPr>
            <w:tcW w:w="2640" w:type="dxa"/>
            <w:vAlign w:val="bottom"/>
            <w:tcBorders>
              <w:bottom w:val="single" w:sz="8" w:color="CCEEFF"/>
            </w:tcBorders>
          </w:tcPr>
          <w:p>
            <w:pPr>
              <w:spacing w:after="0"/>
              <w:rPr>
                <w:sz w:val="3"/>
                <w:szCs w:val="3"/>
                <w:color w:val="auto"/>
              </w:rPr>
            </w:pPr>
          </w:p>
        </w:tc>
        <w:tc>
          <w:tcPr>
            <w:tcW w:w="1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6"/>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equivalents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26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47"/>
        </w:trPr>
        <w:tc>
          <w:tcPr>
            <w:tcW w:w="26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Derivative liability</w:t>
            </w: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26"/>
        </w:trPr>
        <w:tc>
          <w:tcPr>
            <w:tcW w:w="26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39"/>
        <w:spacing w:after="0" w:line="293"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September 30, 2021, resulting in a change in fair value of $1.8 million and $2.7 million during the three and nine months ended September 30, 2021, respectively. This change in fair value was recorded as a component of other income (expense), net, in the accompanying condensed consolidated statements of operations and comprehensive loss.</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1.89</w:t>
            </w:r>
          </w:p>
        </w:tc>
      </w:tr>
    </w:tbl>
    <w:p>
      <w:pPr>
        <w:spacing w:after="0" w:line="189"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 million upon net share settlement.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 million and $1.5 million,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32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tc>
        <w:tc>
          <w:tcPr>
            <w:tcW w:w="1300" w:type="dxa"/>
            <w:vAlign w:val="bottom"/>
          </w:tcPr>
          <w:p>
            <w:pPr>
              <w:spacing w:after="0"/>
              <w:rPr>
                <w:sz w:val="17"/>
                <w:szCs w:val="17"/>
                <w:color w:val="auto"/>
              </w:rPr>
            </w:pPr>
          </w:p>
        </w:tc>
      </w:tr>
      <w:tr>
        <w:trPr>
          <w:trHeight w:val="45"/>
        </w:trPr>
        <w:tc>
          <w:tcPr>
            <w:tcW w:w="610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26670</wp:posOffset>
            </wp:positionV>
            <wp:extent cx="49510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44" w:name="page245"/>
    <w:bookmarkEnd w:id="24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22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6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1300" w:type="dxa"/>
            <w:vAlign w:val="bottom"/>
          </w:tcPr>
          <w:p>
            <w:pPr>
              <w:spacing w:after="0"/>
              <w:rPr>
                <w:sz w:val="17"/>
                <w:szCs w:val="17"/>
                <w:color w:val="auto"/>
              </w:rPr>
            </w:pPr>
          </w:p>
        </w:tc>
      </w:tr>
      <w:tr>
        <w:trPr>
          <w:trHeight w:val="45"/>
        </w:trPr>
        <w:tc>
          <w:tcPr>
            <w:tcW w:w="610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3"/>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$0.1 million.</w:t>
      </w:r>
    </w:p>
    <w:p>
      <w:pPr>
        <w:spacing w:after="0" w:line="11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September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51"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8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34"/>
        </w:trPr>
        <w:tc>
          <w:tcPr>
            <w:tcW w:w="6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53"/>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18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0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$4.1 million. As the Closing of the Business Combination triggered the Conversion Feature contained within the SNAP June 2020 Note, therefore converting the note’s principal to equity, the embedded derivative associated with the note was</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5" w:name="page246"/>
    <w:bookmarkEnd w:id="24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05"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nine months ended September 30, 2022 and 2021 (in thousands):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Nine Months Ended</w:t>
            </w:r>
          </w:p>
        </w:tc>
      </w:tr>
      <w:tr>
        <w:trPr>
          <w:trHeight w:val="205"/>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8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September 30,</w:t>
            </w:r>
          </w:p>
        </w:tc>
        <w:tc>
          <w:tcPr>
            <w:tcW w:w="178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r>
      <w:tr>
        <w:trPr>
          <w:trHeight w:val="45"/>
        </w:trPr>
        <w:tc>
          <w:tcPr>
            <w:tcW w:w="20" w:type="dxa"/>
            <w:vAlign w:val="bottom"/>
          </w:tcPr>
          <w:p>
            <w:pPr>
              <w:spacing w:after="0"/>
              <w:rPr>
                <w:sz w:val="3"/>
                <w:szCs w:val="3"/>
                <w:color w:val="auto"/>
              </w:rPr>
            </w:pPr>
          </w:p>
        </w:tc>
        <w:tc>
          <w:tcPr>
            <w:tcW w:w="2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7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70"/>
        </w:trPr>
        <w:tc>
          <w:tcPr>
            <w:tcW w:w="20" w:type="dxa"/>
            <w:vAlign w:val="bottom"/>
          </w:tcPr>
          <w:p>
            <w:pPr>
              <w:spacing w:after="0"/>
              <w:rPr>
                <w:sz w:val="14"/>
                <w:szCs w:val="14"/>
                <w:color w:val="auto"/>
              </w:rPr>
            </w:pPr>
          </w:p>
        </w:tc>
        <w:tc>
          <w:tcPr>
            <w:tcW w:w="27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Remeasurement of conversion</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w:t>
            </w:r>
          </w:p>
        </w:tc>
        <w:tc>
          <w:tcPr>
            <w:tcW w:w="1320" w:type="dxa"/>
            <w:vAlign w:val="bottom"/>
            <w:tcBorders>
              <w:bottom w:val="single" w:sz="8" w:color="CCEEFF"/>
            </w:tcBorders>
            <w:gridSpan w:val="2"/>
            <w:shd w:val="clear" w:color="auto" w:fill="CCEEFF"/>
          </w:tcPr>
          <w:p>
            <w:pPr>
              <w:jc w:val="right"/>
              <w:ind w:right="502"/>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(640)  $</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(1,090)</w:t>
            </w: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 (in thousands):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56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1,090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September 30, 2021</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3,470</w:t>
            </w:r>
          </w:p>
        </w:tc>
        <w:tc>
          <w:tcPr>
            <w:tcW w:w="26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gridSpan w:val="2"/>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200" w:type="dxa"/>
            <w:vAlign w:val="bottom"/>
            <w:tcBorders>
              <w:top w:val="single" w:sz="8" w:color="auto"/>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September 30, 2022</w:t>
            </w:r>
          </w:p>
        </w:tc>
        <w:tc>
          <w:tcPr>
            <w:tcW w:w="42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4"/>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during the nine months ended September 30, 2022. The Company had no other financial assets or liabilities that were required to be measured at fair value on a recurring basis.</w:t>
      </w:r>
    </w:p>
    <w:p>
      <w:pPr>
        <w:spacing w:after="0" w:line="16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57"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Liquidation</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8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375"/>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F-117</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6" w:name="page247"/>
    <w:bookmarkEnd w:id="24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September 30, 2022.</w:t>
      </w:r>
    </w:p>
    <w:p>
      <w:pPr>
        <w:spacing w:after="0" w:line="17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3" w:lineRule="exact"/>
        <w:rPr>
          <w:sz w:val="20"/>
          <w:szCs w:val="20"/>
          <w:color w:val="auto"/>
        </w:rPr>
      </w:pPr>
    </w:p>
    <w:p>
      <w:pPr>
        <w:jc w:val="both"/>
        <w:ind w:left="1020" w:right="619" w:firstLine="2"/>
        <w:spacing w:after="0" w:line="262" w:lineRule="auto"/>
        <w:tabs>
          <w:tab w:leader="none" w:pos="1265"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7" w:name="page248"/>
    <w:bookmarkEnd w:id="24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1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Under the 2016 Plan, the Company was permitted to grant awards of stock options and RSUs, as well as stock appreciation rights and other stock awards. During the year ended December 31, 2021, the Company amended the 2016 Plan to increase the number of shares of common stock reserved for issuance by 6,667,478 to an aggregate of 48,347,329. As of the Closing Date of the Business Combination, the Company no longer has shares available for issuance under the 2016 Plan.</w:t>
      </w:r>
    </w:p>
    <w:p>
      <w:pPr>
        <w:spacing w:after="0" w:line="8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2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Plan”)(collectively, with the 2006 Plan and the 2016 Plan, the “Plans”), which became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September 30, 2022, the Company has 5,601,945 awards remaining for issuance.</w:t>
      </w:r>
    </w:p>
    <w:p>
      <w:pPr>
        <w:spacing w:after="0" w:line="9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Employee Stock Purchase Plan (the “ESPP”), which became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had not begun as of September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if the stock price on the purchase date is less than the stock price on the offering date.</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8" w:name="page249"/>
    <w:bookmarkEnd w:id="24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391,619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(3,139,565)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21,751</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(663,656)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2022</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14,511</w:t>
            </w:r>
          </w:p>
        </w:tc>
        <w:tc>
          <w:tcPr>
            <w:tcW w:w="0" w:type="dxa"/>
            <w:vAlign w:val="bottom"/>
          </w:tcPr>
          <w:p>
            <w:pPr>
              <w:spacing w:after="0" w:line="20" w:lineRule="exact"/>
              <w:rPr>
                <w:sz w:val="1"/>
                <w:szCs w:val="1"/>
                <w:color w:val="auto"/>
              </w:rPr>
            </w:pPr>
          </w:p>
        </w:tc>
      </w:tr>
      <w:tr>
        <w:trPr>
          <w:trHeight w:val="216"/>
        </w:trPr>
        <w:tc>
          <w:tcPr>
            <w:tcW w:w="2620" w:type="dxa"/>
            <w:vAlign w:val="bottom"/>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18,698,462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2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nine months ended September 30, 2021:</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05"/>
        </w:trPr>
        <w:tc>
          <w:tcPr>
            <w:tcW w:w="2620" w:type="dxa"/>
            <w:vAlign w:val="bottom"/>
          </w:tcPr>
          <w:p>
            <w:pPr>
              <w:spacing w:after="0"/>
              <w:rPr>
                <w:sz w:val="17"/>
                <w:szCs w:val="17"/>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Thousands)</w:t>
            </w:r>
          </w:p>
        </w:tc>
        <w:tc>
          <w:tcPr>
            <w:tcW w:w="0" w:type="dxa"/>
            <w:vAlign w:val="bottom"/>
          </w:tcPr>
          <w:p>
            <w:pPr>
              <w:spacing w:after="0"/>
              <w:rPr>
                <w:sz w:val="1"/>
                <w:szCs w:val="1"/>
                <w:color w:val="auto"/>
              </w:rPr>
            </w:pPr>
          </w:p>
        </w:tc>
      </w:tr>
      <w:tr>
        <w:trPr>
          <w:trHeight w:val="45"/>
        </w:trPr>
        <w:tc>
          <w:tcPr>
            <w:tcW w:w="26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6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(2,178,412)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247"/>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Forfeited or cancelled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(1,801,023)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6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2021</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Exercisable, September 30, 2021</w:t>
            </w: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line="20" w:lineRule="exact"/>
              <w:rPr>
                <w:sz w:val="1"/>
                <w:szCs w:val="1"/>
                <w:color w:val="auto"/>
              </w:rPr>
            </w:pPr>
          </w:p>
        </w:tc>
      </w:tr>
      <w:tr>
        <w:trPr>
          <w:trHeight w:val="233"/>
        </w:trPr>
        <w:tc>
          <w:tcPr>
            <w:tcW w:w="2620" w:type="dxa"/>
            <w:vAlign w:val="bottom"/>
            <w:vMerge w:val="continue"/>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17,350,839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2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nine months ended September 30, 2022 or year ended December 31, 2021 that were subject to repurchase.</w:t>
      </w:r>
    </w:p>
    <w:p>
      <w:pPr>
        <w:spacing w:after="0" w:line="92"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total fair value of options vested was approximately $3.8 million and $7.2 million during the three and nine months ended September 30, 2022, respectively, as compared to $0.9 million and $2.9 million for the three and nine months ended September 30, 2021, respectively.</w:t>
      </w:r>
    </w:p>
    <w:p>
      <w:pPr>
        <w:spacing w:after="0" w:line="9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9" w:name="page250"/>
    <w:bookmarkEnd w:id="24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nine-month periods ended September 30, 2022 and September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5.88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September 30, 2022, the unamortized expense related to outstanding options was $18.8 million. The weighted average remaining amortization period over which the balance as of September 30, 2022 is to be amortized is 2.54 years. No income tax benefit was recognized for this compensation expense in the condensed consolidated statements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Restricted stock unit activity under the Plans was as follows for the nine months ended September 30, 2022:</w:t>
      </w:r>
    </w:p>
    <w:p>
      <w:pPr>
        <w:spacing w:after="0" w:line="383"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Weighted</w:t>
            </w:r>
          </w:p>
        </w:tc>
      </w:tr>
      <w:tr>
        <w:trPr>
          <w:trHeight w:val="195"/>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5"/>
        </w:trPr>
        <w:tc>
          <w:tcPr>
            <w:tcW w:w="500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3"/>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(631,925)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w:t>
            </w:r>
          </w:p>
        </w:tc>
      </w:tr>
      <w:tr>
        <w:trPr>
          <w:trHeight w:val="247"/>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(68,772)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September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870,000 Performance-Based RSUs and 770,000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 recorded stock-based compensation expense of $0.2 million related to Performance-Based RSUs during the three and nine months ended September 30, 2022. Unamortized expense related to Performance-Based RSUs was $7.3 million as of September 30, 2022.</w:t>
      </w:r>
    </w:p>
    <w:p>
      <w:pPr>
        <w:spacing w:after="0" w:line="84"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nine months ended September 30, 2022 were as follows:</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3"/>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3"/>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90"/>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F-121</w:t>
            </w:r>
          </w:p>
        </w:tc>
      </w:tr>
    </w:tbl>
    <w:p>
      <w:pPr>
        <w:sectPr>
          <w:pgSz w:w="11900" w:h="16838" w:orient="portrait"/>
          <w:cols w:equalWidth="0" w:num="1">
            <w:col w:w="9019"/>
          </w:cols>
          <w:pgMar w:left="1440" w:top="264" w:right="1440" w:bottom="1440" w:gutter="0" w:footer="0" w:header="0"/>
        </w:sectPr>
      </w:pPr>
    </w:p>
    <w:bookmarkStart w:id="250" w:name="page251"/>
    <w:bookmarkEnd w:id="25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$3.91. The Company recorded $0.6 million in stock-based compensation expense related to Market-Based RSUs during the three and nine months ended September 30, 2022. Unamortized expense related to Market-Based RSUs was $3.0 million as of September 30, 2022.</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fair value of RSUs that vested was $2.7 million and $3.6 million, respectively. During the three and nine months ended September 30, 2022 the Company recorded $7.1 million and $11.6 million, respectively, of stock-based compensation related to RSUs. As of September 30, 2022, the unamortized expense related to RSUs was $56.8 million. The weighted average remaining amortization period over which the balance as of September 30, 2022 is to be amortized is 3.07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ten votes per share, the exchange resulted in incremental stock-based compensation expense of $1.0 million which is included in general and administrative expenses on the condensed consolidated statements of operations and comprehensive loss for the nine month period ended September 30, 2022.</w:t>
      </w:r>
    </w:p>
    <w:p>
      <w:pPr>
        <w:spacing w:after="0" w:line="32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nine months ended September 30, 2022, the Company’s stock compensation expense was $9.2 million and $19.5 million, respectively, as compared to $1.3 million and $4.0 million for the three and nine months ended September 30, 2021, respectively. Stock-based compensation is classified in the following operating expense accounts on the condensed consolidated statements of operations and comprehensive loss for the three and nine months ended September 30, 2022 and 2021 (in thousands):</w:t>
      </w:r>
    </w:p>
    <w:p>
      <w:pPr>
        <w:spacing w:after="0" w:line="136" w:lineRule="exact"/>
        <w:rPr>
          <w:sz w:val="20"/>
          <w:szCs w:val="20"/>
          <w:color w:val="auto"/>
        </w:rPr>
      </w:pPr>
    </w:p>
    <w:tbl>
      <w:tblPr>
        <w:tblLayout w:type="fixed"/>
        <w:tblInd w:w="102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4"/>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21"/>
        </w:trPr>
        <w:tc>
          <w:tcPr>
            <w:tcW w:w="2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3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r>
      <w:tr>
        <w:trPr>
          <w:trHeight w:val="39"/>
        </w:trPr>
        <w:tc>
          <w:tcPr>
            <w:tcW w:w="2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53"/>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r>
      <w:tr>
        <w:trPr>
          <w:trHeight w:val="247"/>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r>
      <w:tr>
        <w:trPr>
          <w:trHeight w:val="26"/>
        </w:trPr>
        <w:tc>
          <w:tcPr>
            <w:tcW w:w="26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3"/>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9,173</w:t>
            </w:r>
          </w:p>
        </w:tc>
        <w:tc>
          <w:tcPr>
            <w:tcW w:w="3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2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4,049</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1000" w:hanging="394"/>
        <w:spacing w:after="0"/>
        <w:tabs>
          <w:tab w:leader="none" w:pos="1000" w:val="left"/>
        </w:tabs>
        <w:numPr>
          <w:ilvl w:val="0"/>
          <w:numId w:val="1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September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CCEEFF"/>
            </w:tcBorders>
            <w:shd w:val="clear" w:color="auto" w:fill="CCEEFF"/>
          </w:tcPr>
          <w:p>
            <w:pPr>
              <w:spacing w:after="0"/>
              <w:rPr>
                <w:sz w:val="20"/>
                <w:szCs w:val="20"/>
                <w:color w:val="auto"/>
              </w:rPr>
            </w:pPr>
          </w:p>
        </w:tc>
        <w:tc>
          <w:tcPr>
            <w:tcW w:w="3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(3,281)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(179)</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6,236</w:t>
            </w: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 (in thousands):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34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gridSpan w:val="5"/>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5"/>
          </w:tcPr>
          <w:p>
            <w:pPr>
              <w:jc w:val="right"/>
              <w:ind w:right="41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2,466</w:t>
            </w: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321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3"/>
              </w:rPr>
              <w:t>946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39"/>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September 30, 2022:</w:t>
      </w:r>
    </w:p>
    <w:p>
      <w:pPr>
        <w:spacing w:after="0" w:line="197"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498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Operating</w:t>
            </w:r>
          </w:p>
        </w:tc>
        <w:tc>
          <w:tcPr>
            <w:tcW w:w="122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3"/>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3.68</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1.96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w:t>
            </w:r>
          </w:p>
        </w:tc>
      </w:tr>
    </w:tbl>
    <w:p>
      <w:pPr>
        <w:spacing w:after="0" w:line="189"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total rent expense for the three and nine months ended September 30, 2022 was $1.0 million and $2.9 million, respectively. The Company’s total rent expense for the three and nine months ended September 30, 2021 was $0.9 million and $2.9 million, respectively.</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nine months ended September 30, 2022 and 2021 (in thousands):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6"/>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05"/>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6"/>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6"/>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45"/>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1"/>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r>
      <w:tr>
        <w:trPr>
          <w:trHeight w:val="45"/>
        </w:trPr>
        <w:tc>
          <w:tcPr>
            <w:tcW w:w="3120" w:type="dxa"/>
            <w:vAlign w:val="bottom"/>
            <w:gridSpan w:val="2"/>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46"/>
        </w:trPr>
        <w:tc>
          <w:tcPr>
            <w:tcW w:w="20" w:type="dxa"/>
            <w:vAlign w:val="bottom"/>
          </w:tcPr>
          <w:p>
            <w:pPr>
              <w:spacing w:after="0"/>
              <w:rPr>
                <w:sz w:val="21"/>
                <w:szCs w:val="21"/>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20" w:type="dxa"/>
            <w:vAlign w:val="bottom"/>
          </w:tcPr>
          <w:p>
            <w:pPr>
              <w:spacing w:after="0"/>
              <w:rPr>
                <w:sz w:val="20"/>
                <w:szCs w:val="20"/>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0"/>
        </w:trPr>
        <w:tc>
          <w:tcPr>
            <w:tcW w:w="20" w:type="dxa"/>
            <w:vAlign w:val="bottom"/>
          </w:tcPr>
          <w:p>
            <w:pPr>
              <w:spacing w:after="0"/>
              <w:rPr>
                <w:sz w:val="16"/>
                <w:szCs w:val="16"/>
                <w:color w:val="auto"/>
              </w:rPr>
            </w:pPr>
          </w:p>
        </w:tc>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2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(3,792)</w:t>
            </w:r>
          </w:p>
        </w:tc>
      </w:tr>
      <w:tr>
        <w:trPr>
          <w:trHeight w:val="247"/>
        </w:trPr>
        <w:tc>
          <w:tcPr>
            <w:tcW w:w="20" w:type="dxa"/>
            <w:vAlign w:val="bottom"/>
          </w:tcPr>
          <w:p>
            <w:pPr>
              <w:spacing w:after="0"/>
              <w:rPr>
                <w:sz w:val="21"/>
                <w:szCs w:val="21"/>
                <w:color w:val="auto"/>
              </w:rPr>
            </w:pPr>
          </w:p>
        </w:tc>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(494)</w:t>
            </w:r>
          </w:p>
        </w:tc>
      </w:tr>
      <w:tr>
        <w:trPr>
          <w:trHeight w:val="26"/>
        </w:trPr>
        <w:tc>
          <w:tcPr>
            <w:tcW w:w="20" w:type="dxa"/>
            <w:vAlign w:val="bottom"/>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2" w:name="page253"/>
    <w:bookmarkEnd w:id="252"/>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44" w:lineRule="exact"/>
        <w:rPr>
          <w:sz w:val="20"/>
          <w:szCs w:val="20"/>
          <w:color w:val="auto"/>
        </w:rPr>
      </w:pPr>
    </w:p>
    <w:p>
      <w:pPr>
        <w:ind w:left="1020" w:right="619"/>
        <w:spacing w:after="0" w:line="293"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nine months ended September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loss (in thousands)</w:t>
      </w:r>
    </w:p>
    <w:p>
      <w:pPr>
        <w:spacing w:after="0" w:line="7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40" w:hanging="215"/>
        <w:spacing w:after="0" w:line="293"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2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7"/>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6"/>
          </w:tcPr>
          <w:p>
            <w:pPr>
              <w:ind w:lef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gridSpan w:val="7"/>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500"/>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(28,922)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(23,781)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(84,693)</w:t>
            </w:r>
          </w:p>
        </w:tc>
        <w:tc>
          <w:tcPr>
            <w:tcW w:w="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(57,693)</w:t>
            </w:r>
          </w:p>
        </w:tc>
        <w:tc>
          <w:tcPr>
            <w:tcW w:w="0" w:type="dxa"/>
            <w:vAlign w:val="bottom"/>
          </w:tcPr>
          <w:p>
            <w:pPr>
              <w:spacing w:after="0"/>
              <w:rPr>
                <w:sz w:val="1"/>
                <w:szCs w:val="1"/>
                <w:color w:val="auto"/>
              </w:rPr>
            </w:pPr>
          </w:p>
        </w:tc>
      </w:tr>
      <w:tr>
        <w:trPr>
          <w:trHeight w:val="747"/>
        </w:trPr>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197,006,980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67,718,940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143,338,517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67,021,176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vMerge w:val="restart"/>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(0.35</w:t>
            </w: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(0.59</w:t>
            </w:r>
          </w:p>
        </w:tc>
        <w:tc>
          <w:tcPr>
            <w:tcW w:w="1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-1830070</wp:posOffset>
            </wp:positionH>
            <wp:positionV relativeFrom="paragraph">
              <wp:posOffset>-1005840</wp:posOffset>
            </wp:positionV>
            <wp:extent cx="4744720" cy="1816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744720" cy="181610"/>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-651510</wp:posOffset>
            </wp:positionV>
            <wp:extent cx="4744720" cy="1733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44720" cy="173355"/>
                    </a:xfrm>
                    <a:prstGeom prst="rect">
                      <a:avLst/>
                    </a:prstGeom>
                    <a:noFill/>
                  </pic:spPr>
                </pic:pic>
              </a:graphicData>
            </a:graphic>
          </wp:anchor>
        </w:drawing>
        <w:drawing>
          <wp:anchor simplePos="0" relativeHeight="251657728" behindDoc="1" locked="0" layoutInCell="0" allowOverlap="1">
            <wp:simplePos x="0" y="0"/>
            <wp:positionH relativeFrom="column">
              <wp:posOffset>-1830070</wp:posOffset>
            </wp:positionH>
            <wp:positionV relativeFrom="paragraph">
              <wp:posOffset>-189230</wp:posOffset>
            </wp:positionV>
            <wp:extent cx="4744720" cy="1733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44720" cy="173355"/>
                    </a:xfrm>
                    <a:prstGeom prst="rect">
                      <a:avLst/>
                    </a:prstGeom>
                    <a:noFill/>
                  </pic:spPr>
                </pic:pic>
              </a:graphicData>
            </a:graphic>
          </wp:anchor>
        </w:drawing>
      </w:r>
    </w:p>
    <w:p>
      <w:pPr>
        <w:spacing w:after="0" w:line="151" w:lineRule="exact"/>
        <w:rPr>
          <w:sz w:val="20"/>
          <w:szCs w:val="20"/>
          <w:color w:val="auto"/>
        </w:rPr>
      </w:pPr>
    </w:p>
    <w:p>
      <w:pPr>
        <w:sectPr>
          <w:pgSz w:w="11900" w:h="16838" w:orient="portrait"/>
          <w:cols w:equalWidth="0" w:num="2">
            <w:col w:w="3620" w:space="200"/>
            <w:col w:w="5199"/>
          </w:cols>
          <w:pgMar w:left="1440" w:top="264" w:right="1440" w:bottom="1440" w:gutter="0" w:footer="0" w:header="0"/>
          <w:type w:val="continuous"/>
        </w:sectPr>
      </w:pPr>
    </w:p>
    <w:p>
      <w:pPr>
        <w:jc w:val="both"/>
        <w:ind w:left="1020" w:right="619"/>
        <w:spacing w:after="0" w:line="293" w:lineRule="auto"/>
        <w:rPr>
          <w:sz w:val="20"/>
          <w:szCs w:val="20"/>
          <w:color w:val="auto"/>
        </w:rPr>
      </w:pPr>
      <w:r>
        <w:rPr>
          <w:rFonts w:ascii="Times New Roman" w:cs="Times New Roman" w:eastAsia="Times New Roman" w:hAnsi="Times New Roman"/>
          <w:sz w:val="17"/>
          <w:szCs w:val="17"/>
          <w:color w:val="auto"/>
        </w:rPr>
        <w:t>For the three and nine months ended September 30, 2022 and 2021, the diluted earnings per share is equal to the basic earnings per share as the effect of potentially dilutive securities would have been antidilutive.</w:t>
      </w:r>
    </w:p>
    <w:p>
      <w:pPr>
        <w:spacing w:after="0" w:line="8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nine months ended September 30, 2022 and 2021:</w:t>
      </w:r>
    </w:p>
    <w:p>
      <w:pPr>
        <w:spacing w:after="0" w:line="165"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5"/>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As of 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26,949,803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29,996,549</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15,102,293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400" w:type="dxa"/>
            <w:vAlign w:val="bottom"/>
          </w:tcPr>
          <w:p>
            <w:pPr>
              <w:spacing w:after="0"/>
              <w:rPr>
                <w:sz w:val="21"/>
                <w:szCs w:val="21"/>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745,235</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3,665,996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1,063,214</w:t>
            </w:r>
          </w:p>
        </w:tc>
        <w:tc>
          <w:tcPr>
            <w:tcW w:w="0" w:type="dxa"/>
            <w:vAlign w:val="bottom"/>
          </w:tcPr>
          <w:p>
            <w:pPr>
              <w:spacing w:after="0"/>
              <w:rPr>
                <w:sz w:val="1"/>
                <w:szCs w:val="1"/>
                <w:color w:val="auto"/>
              </w:rPr>
            </w:pPr>
          </w:p>
        </w:tc>
      </w:tr>
      <w:tr>
        <w:trPr>
          <w:trHeight w:val="39"/>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3"/>
        </w:trPr>
        <w:tc>
          <w:tcPr>
            <w:tcW w:w="400" w:type="dxa"/>
            <w:vAlign w:val="bottom"/>
          </w:tcPr>
          <w:p>
            <w:pPr>
              <w:spacing w:after="0"/>
              <w:rPr>
                <w:sz w:val="23"/>
                <w:szCs w:val="23"/>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c>
          <w:tcPr>
            <w:tcW w:w="0" w:type="dxa"/>
            <w:vAlign w:val="bottom"/>
          </w:tcPr>
          <w:p>
            <w:pPr>
              <w:spacing w:after="0"/>
              <w:rPr>
                <w:sz w:val="1"/>
                <w:szCs w:val="1"/>
                <w:color w:val="auto"/>
              </w:rPr>
            </w:pPr>
          </w:p>
        </w:tc>
      </w:tr>
      <w:tr>
        <w:trPr>
          <w:trHeight w:val="233"/>
        </w:trPr>
        <w:tc>
          <w:tcPr>
            <w:tcW w:w="400" w:type="dxa"/>
            <w:vAlign w:val="bottom"/>
          </w:tcPr>
          <w:p>
            <w:pPr>
              <w:spacing w:after="0"/>
              <w:rPr>
                <w:sz w:val="20"/>
                <w:szCs w:val="20"/>
                <w:color w:val="auto"/>
              </w:rPr>
            </w:pPr>
          </w:p>
        </w:tc>
        <w:tc>
          <w:tcPr>
            <w:tcW w:w="29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45,718,092</w:t>
            </w:r>
          </w:p>
        </w:tc>
        <w:tc>
          <w:tcPr>
            <w:tcW w:w="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138,108,968</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17.  INCOME TAXES</w:t>
            </w: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33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0" w:type="dxa"/>
            <w:vAlign w:val="bottom"/>
          </w:tcPr>
          <w:p>
            <w:pPr>
              <w:spacing w:after="0"/>
              <w:rPr>
                <w:sz w:val="24"/>
                <w:szCs w:val="24"/>
                <w:color w:val="auto"/>
              </w:rPr>
            </w:pPr>
          </w:p>
        </w:tc>
        <w:tc>
          <w:tcPr>
            <w:tcW w:w="52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 (in thousands):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2100" w:type="dxa"/>
            <w:vAlign w:val="bottom"/>
            <w:gridSpan w:val="5"/>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7"/>
                <w:szCs w:val="17"/>
                <w:color w:val="auto"/>
              </w:rPr>
            </w:pPr>
          </w:p>
        </w:tc>
        <w:tc>
          <w:tcPr>
            <w:tcW w:w="2100" w:type="dxa"/>
            <w:vAlign w:val="bottom"/>
            <w:gridSpan w:val="5"/>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1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0" w:type="dxa"/>
            <w:vAlign w:val="bottom"/>
          </w:tcPr>
          <w:p>
            <w:pPr>
              <w:spacing w:after="0"/>
              <w:rPr>
                <w:sz w:val="19"/>
                <w:szCs w:val="19"/>
                <w:color w:val="auto"/>
              </w:rPr>
            </w:pPr>
          </w:p>
        </w:tc>
        <w:tc>
          <w:tcPr>
            <w:tcW w:w="900" w:type="dxa"/>
            <w:vAlign w:val="bottom"/>
            <w:gridSpan w:val="2"/>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00" w:type="dxa"/>
            <w:vAlign w:val="bottom"/>
            <w:tcBorders>
              <w:right w:val="single" w:sz="8" w:color="CCEEFF"/>
            </w:tcBorders>
          </w:tcPr>
          <w:p>
            <w:pPr>
              <w:spacing w:after="0"/>
              <w:rPr>
                <w:sz w:val="20"/>
                <w:szCs w:val="20"/>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  (28,058)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(83,088)</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   (56,293)</w:t>
            </w:r>
          </w:p>
        </w:tc>
        <w:tc>
          <w:tcPr>
            <w:tcW w:w="0" w:type="dxa"/>
            <w:vAlign w:val="bottom"/>
          </w:tcPr>
          <w:p>
            <w:pPr>
              <w:spacing w:after="0"/>
              <w:rPr>
                <w:sz w:val="1"/>
                <w:szCs w:val="1"/>
                <w:color w:val="auto"/>
              </w:rPr>
            </w:pPr>
          </w:p>
        </w:tc>
      </w:tr>
      <w:tr>
        <w:trPr>
          <w:trHeight w:val="234"/>
        </w:trPr>
        <w:tc>
          <w:tcPr>
            <w:tcW w:w="336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Income tax expense</w:t>
            </w:r>
          </w:p>
        </w:tc>
        <w:tc>
          <w:tcPr>
            <w:tcW w:w="11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2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113"/>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39"/>
        </w:trPr>
        <w:tc>
          <w:tcPr>
            <w:tcW w:w="3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0" w:type="dxa"/>
            <w:vAlign w:val="bottom"/>
            <w:tcBorders>
              <w:right w:val="single" w:sz="8" w:color="CCEEFF"/>
            </w:tcBorders>
          </w:tcPr>
          <w:p>
            <w:pPr>
              <w:spacing w:after="0"/>
              <w:rPr>
                <w:sz w:val="20"/>
                <w:szCs w:val="20"/>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(5.27)%</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0" w:type="dxa"/>
            <w:vAlign w:val="bottom"/>
          </w:tcPr>
          <w:p>
            <w:pPr>
              <w:spacing w:after="0"/>
              <w:rPr>
                <w:sz w:val="1"/>
                <w:szCs w:val="1"/>
                <w:color w:val="auto"/>
              </w:rPr>
            </w:pPr>
          </w:p>
        </w:tc>
      </w:tr>
      <w:tr>
        <w:trPr>
          <w:trHeight w:val="39"/>
        </w:trPr>
        <w:tc>
          <w:tcPr>
            <w:tcW w:w="400" w:type="dxa"/>
            <w:vAlign w:val="bottom"/>
            <w:tcBorders>
              <w:right w:val="single" w:sz="8" w:color="CCEEFF"/>
            </w:tcBorders>
          </w:tcPr>
          <w:p>
            <w:pPr>
              <w:spacing w:after="0"/>
              <w:rPr>
                <w:sz w:val="3"/>
                <w:szCs w:val="3"/>
                <w:color w:val="auto"/>
              </w:rPr>
            </w:pPr>
          </w:p>
        </w:tc>
        <w:tc>
          <w:tcPr>
            <w:tcW w:w="29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jc w:val="both"/>
        <w:ind w:left="1020" w:right="619"/>
        <w:spacing w:after="0" w:line="274"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6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As a result of the Business Combination during the second quarter of 2022, each company’s ownership interest in us was reduced to less than 5%. Consequently, considering all aspects of our relationships with the companies, as of June 30, 2022, we no longer consider the companies related parties. Below we provide our disclosures for transactions with the companies through June 30, 2022.</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53" w:name="page254"/>
    <w:bookmarkEnd w:id="253"/>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200"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 xml:space="preserve">RELATED PARTY TRANSACTIONS </w:t>
      </w:r>
      <w:r>
        <w:rPr>
          <w:rFonts w:ascii="Times New Roman" w:cs="Times New Roman" w:eastAsia="Times New Roman" w:hAnsi="Times New Roman"/>
          <w:sz w:val="17"/>
          <w:szCs w:val="17"/>
          <w:color w:val="auto"/>
        </w:rPr>
        <w:t>(cont.)</w:t>
      </w:r>
    </w:p>
    <w:p>
      <w:pPr>
        <w:spacing w:after="0" w:line="18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During the six months ended June 30, 2022, we recognized revenue from the companies of $5.2 million. During the three and nine months ended September 30, 2021, we recognized revenue from the companies of $1.6 million and $5.2 million, respectively. As of December 31, 2021, we had accounts receivable and deferred revenue balances related to the companies of $0.6 million and $15.2 million, respectively.</w:t>
      </w:r>
    </w:p>
    <w:p>
      <w:pPr>
        <w:spacing w:after="0" w:line="168" w:lineRule="exact"/>
        <w:rPr>
          <w:sz w:val="20"/>
          <w:szCs w:val="20"/>
          <w:color w:val="auto"/>
        </w:rPr>
      </w:pPr>
    </w:p>
    <w:p>
      <w:pPr>
        <w:ind w:left="60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19.</w:t>
        <w:tab/>
        <w:t>SUBSEQUENT EVENT</w:t>
      </w:r>
    </w:p>
    <w:p>
      <w:pPr>
        <w:spacing w:after="0" w:line="22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Line of Credit</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On August 16, 2022, the Company entered into a common stock purchase agreement (the “Common Stock Purchase Agreement”) and related registration rights agreement (the “CFPI Registration Rights Agreement”) with CF Principal Investments LLC (“CFPI”). Pursuant to the Common Stock Purchase Agreement, the Company, has the right to sell to CFPI up to the lesser of (i) 25,000,000 shares of Class A common stock and (ii) the Exchange Cap (as defined in the Common Stock Purchase Agreement), subject to certain limitations and conditions set forth in the Common Stock Purchase Agreement. As of November 14, 2022, the Company’s Registration Statement on Form S-1 registering the resale of the ELOC Shares had not yet been declared effective. If declared effective and certain other conditions are met permitting the Commencement (as defined in the Common Stock Purchase Agreement) of the offering, the Company expects to utilize proceeds from the ELOC for working capital and other general corporate purposes.</w:t>
      </w:r>
    </w:p>
    <w:p>
      <w:pPr>
        <w:spacing w:after="0" w:line="3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Commencement, the Company will have the right from time to time at its sole discretion until the first day of the month next following the 36-month period from and after the Commencement, to direct CFPI to purchase up to a specified maximum amount of shares of Class A common stock as set forth in the Common Stock Purchase Agreement by delivering written notice to CFPI prior to the commencement of trading on any trading day. The Company will control the timing and amount of any sales of the Class A common stock to CFPI. Actual sales of shares to CFPI under the Common Stock Purchase Agreement will depend on a variety of factors to be determined by the Company from time to time, including, among other things, market conditions, and the trading price of the Common Stock.</w:t>
      </w:r>
    </w:p>
    <w:p>
      <w:pPr>
        <w:spacing w:after="0" w:line="11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purchase price of the shares that the Company elects to sell to CFPI pursuant to the Common Stock Purchase Agreement will be the volume weighted average price of the Common Stock during the applicable purchase date on which the Company has timely delivered written notice to CFPI directing it to purchase the shares under the Common Stock Purchase Agreement. The Company will receive 97% of the volume weighted average price of the Common Stock so sold.</w:t>
      </w:r>
    </w:p>
    <w:p>
      <w:pPr>
        <w:spacing w:after="0" w:line="107" w:lineRule="exact"/>
        <w:rPr>
          <w:sz w:val="20"/>
          <w:szCs w:val="20"/>
          <w:color w:val="auto"/>
        </w:rPr>
      </w:pPr>
    </w:p>
    <w:p>
      <w:pPr>
        <w:jc w:val="both"/>
        <w:ind w:left="1020" w:right="619"/>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Common Stock Purchase Agreement, the Company issued CFPI 250,000 shares (the “Commitment Shares”) as consideration for its irrevocable commitment to purchase the shares upon the terms and subject to the satisfaction of the conditions set forth in the Common Stock Purchase Agreement. Pursuant to a separate side letter agreement between the Company and CFPI, the Company and CFPI have agreed that if the net proceeds with respect to Commitment Shares either sold by CFPI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Commencement, subject to an extension under certain circumstances (the “True-Up Date”), or held by CFPI on the True-Up Date (based on the closing price of the Class A common stock on the Nasdaq Global Market on the trading day immediately prior to the True-Up Date), in the aggregate, are less than $1.0 million, the Company will pay to CFPI the difference between $1.0 million and the applicable net proceeds. Alternatively, in the event that such net proceeds exceed $1.0 million, CFPI will pay to the Company the difference between the applicable net proceeds and $1.0 million.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4" w:name="page255"/>
    <w:bookmarkEnd w:id="254"/>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60960</wp:posOffset>
            </wp:positionV>
            <wp:extent cx="4951095" cy="2476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951095" cy="2476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102235</wp:posOffset>
            </wp:positionV>
            <wp:extent cx="4951095" cy="247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5109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0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33"/>
              <w:spacing w:after="0"/>
              <w:rPr>
                <w:sz w:val="20"/>
                <w:szCs w:val="20"/>
                <w:color w:val="auto"/>
              </w:rPr>
            </w:pPr>
            <w:r>
              <w:rPr>
                <w:rFonts w:ascii="Times New Roman" w:cs="Times New Roman" w:eastAsia="Times New Roman" w:hAnsi="Times New Roman"/>
                <w:sz w:val="17"/>
                <w:szCs w:val="17"/>
                <w:b w:val="1"/>
                <w:bCs w:val="1"/>
                <w:color w:val="auto"/>
              </w:rPr>
              <w:t>, 2022</w:t>
            </w:r>
          </w:p>
        </w:tc>
      </w:tr>
      <w:tr>
        <w:trPr>
          <w:trHeight w:val="1033"/>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377"/>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5" w:name="page256"/>
    <w:bookmarkEnd w:id="255"/>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44" w:lineRule="exact"/>
        <w:rPr>
          <w:sz w:val="20"/>
          <w:szCs w:val="20"/>
          <w:color w:val="auto"/>
        </w:rPr>
      </w:pPr>
    </w:p>
    <w:p>
      <w:pPr>
        <w:jc w:val="both"/>
        <w:ind w:left="600" w:right="639" w:firstLine="416"/>
        <w:spacing w:after="0" w:line="293" w:lineRule="auto"/>
        <w:rPr>
          <w:sz w:val="20"/>
          <w:szCs w:val="20"/>
          <w:color w:val="auto"/>
        </w:rPr>
      </w:pPr>
      <w:r>
        <w:rPr>
          <w:rFonts w:ascii="Times New Roman" w:cs="Times New Roman" w:eastAsia="Times New Roman" w:hAnsi="Times New Roman"/>
          <w:sz w:val="17"/>
          <w:szCs w:val="17"/>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5"/>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FINRA fee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12,279.13</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39"/>
        </w:trPr>
        <w:tc>
          <w:tcPr>
            <w:tcW w:w="66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30,441.37</w:t>
            </w: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600" w:type="dxa"/>
            <w:vAlign w:val="bottom"/>
            <w:gridSpan w:val="2"/>
            <w:vMerge w:val="continue"/>
          </w:tcPr>
          <w:p>
            <w:pPr>
              <w:spacing w:after="0"/>
              <w:rPr>
                <w:sz w:val="20"/>
                <w:szCs w:val="20"/>
                <w:color w:val="auto"/>
              </w:rPr>
            </w:pPr>
          </w:p>
        </w:tc>
        <w:tc>
          <w:tcPr>
            <w:tcW w:w="2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44" w:lineRule="exact"/>
        <w:rPr>
          <w:sz w:val="20"/>
          <w:szCs w:val="20"/>
          <w:color w:val="auto"/>
        </w:rPr>
      </w:pPr>
    </w:p>
    <w:p>
      <w:pPr>
        <w:jc w:val="both"/>
        <w:ind w:left="600" w:right="619" w:firstLine="416"/>
        <w:spacing w:after="0" w:line="262"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0" w:lineRule="exact"/>
        <w:rPr>
          <w:sz w:val="20"/>
          <w:szCs w:val="20"/>
          <w:color w:val="auto"/>
        </w:rPr>
      </w:pPr>
    </w:p>
    <w:p>
      <w:pPr>
        <w:ind w:left="1440" w:hanging="418"/>
        <w:spacing w:after="0"/>
        <w:tabs>
          <w:tab w:leader="none" w:pos="1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155"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68"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35"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or</w:t>
      </w:r>
    </w:p>
    <w:p>
      <w:pPr>
        <w:spacing w:after="0" w:line="81"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15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spacing w:after="0" w:line="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As permitted by Section 145 of the Delaware General Corporation Law, our Amended Bylaws provide</w:t>
      </w:r>
    </w:p>
    <w:p>
      <w:pPr>
        <w:spacing w:after="0" w:line="3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that:</w:t>
      </w:r>
    </w:p>
    <w:p>
      <w:pPr>
        <w:spacing w:after="0" w:line="137" w:lineRule="exact"/>
        <w:rPr>
          <w:sz w:val="20"/>
          <w:szCs w:val="20"/>
          <w:color w:val="auto"/>
        </w:rPr>
      </w:pPr>
    </w:p>
    <w:p>
      <w:pPr>
        <w:ind w:left="1440" w:right="619" w:hanging="418"/>
        <w:spacing w:after="0" w:line="293"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35"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84" w:lineRule="exact"/>
        <w:rPr>
          <w:rFonts w:ascii="Times New Roman" w:cs="Times New Roman" w:eastAsia="Times New Roman" w:hAnsi="Times New Roman"/>
          <w:sz w:val="17"/>
          <w:szCs w:val="17"/>
          <w:color w:val="auto"/>
        </w:rPr>
      </w:pPr>
    </w:p>
    <w:p>
      <w:pPr>
        <w:ind w:left="1440" w:hanging="418"/>
        <w:spacing w:after="0"/>
        <w:tabs>
          <w:tab w:leader="none" w:pos="144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Amended Bylaws are not exclusive.</w:t>
      </w:r>
    </w:p>
    <w:p>
      <w:pPr>
        <w:spacing w:after="0" w:line="155"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6" w:name="page257"/>
    <w:bookmarkEnd w:id="256"/>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00" w:right="619"/>
        <w:spacing w:after="0" w:line="267" w:lineRule="auto"/>
        <w:rPr>
          <w:sz w:val="20"/>
          <w:szCs w:val="20"/>
          <w:color w:val="auto"/>
        </w:rPr>
      </w:pPr>
      <w:r>
        <w:rPr>
          <w:rFonts w:ascii="Times New Roman" w:cs="Times New Roman" w:eastAsia="Times New Roman" w:hAnsi="Times New Roman"/>
          <w:sz w:val="17"/>
          <w:szCs w:val="17"/>
          <w:color w:val="auto"/>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5"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57"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99" w:lineRule="exact"/>
        <w:rPr>
          <w:sz w:val="20"/>
          <w:szCs w:val="20"/>
          <w:color w:val="auto"/>
        </w:rPr>
      </w:pPr>
    </w:p>
    <w:p>
      <w:pPr>
        <w:jc w:val="both"/>
        <w:ind w:left="600" w:right="619" w:firstLine="416"/>
        <w:spacing w:after="0" w:line="274" w:lineRule="auto"/>
        <w:rPr>
          <w:sz w:val="20"/>
          <w:szCs w:val="20"/>
          <w:color w:val="auto"/>
        </w:rPr>
      </w:pPr>
      <w:r>
        <w:rPr>
          <w:rFonts w:ascii="Times New Roman" w:cs="Times New Roman" w:eastAsia="Times New Roman" w:hAnsi="Times New Roman"/>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97"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12" w:lineRule="exact"/>
        <w:rPr>
          <w:sz w:val="20"/>
          <w:szCs w:val="20"/>
          <w:color w:val="auto"/>
        </w:rPr>
      </w:pPr>
    </w:p>
    <w:p>
      <w:pPr>
        <w:jc w:val="both"/>
        <w:ind w:left="600" w:right="619" w:firstLine="416"/>
        <w:spacing w:after="0" w:line="260" w:lineRule="auto"/>
        <w:rPr>
          <w:sz w:val="20"/>
          <w:szCs w:val="20"/>
          <w:color w:val="auto"/>
        </w:rPr>
      </w:pPr>
      <w:r>
        <w:rPr>
          <w:rFonts w:ascii="Times New Roman" w:cs="Times New Roman" w:eastAsia="Times New Roman" w:hAnsi="Times New Roman"/>
          <w:sz w:val="17"/>
          <w:szCs w:val="17"/>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underwriting discounts or commissions were paid with respect to such sales.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7" w:name="page258"/>
    <w:bookmarkEnd w:id="257"/>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77"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7"/>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120" w:type="dxa"/>
            <w:vAlign w:val="bottom"/>
            <w:vMerge w:val="continue"/>
          </w:tcPr>
          <w:p>
            <w:pPr>
              <w:spacing w:after="0"/>
              <w:rPr>
                <w:sz w:val="14"/>
                <w:szCs w:val="14"/>
                <w:color w:val="auto"/>
              </w:rPr>
            </w:pPr>
          </w:p>
        </w:tc>
        <w:tc>
          <w:tcPr>
            <w:tcW w:w="3240" w:type="dxa"/>
            <w:vAlign w:val="bottom"/>
            <w:gridSpan w:val="24"/>
          </w:tcPr>
          <w:p>
            <w:pPr>
              <w:spacing w:after="0" w:line="162" w:lineRule="exact"/>
              <w:rPr>
                <w:rFonts w:ascii="Times New Roman" w:cs="Times New Roman" w:eastAsia="Times New Roman" w:hAnsi="Times New Roman"/>
                <w:sz w:val="17"/>
                <w:szCs w:val="17"/>
                <w:color w:val="0000EE"/>
              </w:rPr>
            </w:pPr>
            <w:hyperlink r:id="rId291">
              <w:r>
                <w:rPr>
                  <w:rFonts w:ascii="Times New Roman" w:cs="Times New Roman" w:eastAsia="Times New Roman" w:hAnsi="Times New Roman"/>
                  <w:sz w:val="17"/>
                  <w:szCs w:val="17"/>
                  <w:color w:val="0000EE"/>
                </w:rPr>
                <w:t>Merger Agreement dated as of November 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291">
              <w:r>
                <w:rPr>
                  <w:rFonts w:ascii="Times New Roman" w:cs="Times New Roman" w:eastAsia="Times New Roman" w:hAnsi="Times New Roman"/>
                  <w:sz w:val="17"/>
                  <w:szCs w:val="17"/>
                  <w:color w:val="0000EE"/>
                </w:rPr>
                <w:t>2021 by and among Archimedes Tech SPAC</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291">
              <w:r>
                <w:rPr>
                  <w:rFonts w:ascii="Times New Roman" w:cs="Times New Roman" w:eastAsia="Times New Roman" w:hAnsi="Times New Roman"/>
                  <w:sz w:val="17"/>
                  <w:szCs w:val="17"/>
                  <w:color w:val="0000EE"/>
                </w:rPr>
                <w:t>Partners Co., ATSPC Merger Sub, Inc.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0000EE"/>
            </w:tcBorders>
            <w:gridSpan w:val="8"/>
          </w:tcPr>
          <w:p>
            <w:pPr>
              <w:spacing w:after="0" w:line="188" w:lineRule="exact"/>
              <w:rPr>
                <w:rFonts w:ascii="Times New Roman" w:cs="Times New Roman" w:eastAsia="Times New Roman" w:hAnsi="Times New Roman"/>
                <w:sz w:val="17"/>
                <w:szCs w:val="17"/>
                <w:color w:val="0000EE"/>
                <w:w w:val="99"/>
              </w:rPr>
            </w:pPr>
            <w:hyperlink r:id="rId291">
              <w:r>
                <w:rPr>
                  <w:rFonts w:ascii="Times New Roman" w:cs="Times New Roman" w:eastAsia="Times New Roman" w:hAnsi="Times New Roman"/>
                  <w:sz w:val="17"/>
                  <w:szCs w:val="17"/>
                  <w:color w:val="0000EE"/>
                  <w:w w:val="99"/>
                </w:rPr>
                <w:t>SoundHound, Inc.</w:t>
              </w:r>
            </w:hyperlink>
          </w:p>
        </w:tc>
        <w:tc>
          <w:tcPr>
            <w:tcW w:w="800" w:type="dxa"/>
            <w:vAlign w:val="bottom"/>
            <w:gridSpan w:val="4"/>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2">
              <w:r>
                <w:rPr>
                  <w:rFonts w:ascii="Times New Roman" w:cs="Times New Roman" w:eastAsia="Times New Roman" w:hAnsi="Times New Roman"/>
                  <w:sz w:val="17"/>
                  <w:szCs w:val="17"/>
                  <w:color w:val="0000EE"/>
                </w:rPr>
                <w:t>Second Amended and Restated Certificate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top w:val="single" w:sz="8" w:color="0000EE"/>
              <w:bottom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292">
              <w:r>
                <w:rPr>
                  <w:rFonts w:ascii="Times New Roman" w:cs="Times New Roman" w:eastAsia="Times New Roman" w:hAnsi="Times New Roman"/>
                  <w:sz w:val="17"/>
                  <w:szCs w:val="17"/>
                  <w:color w:val="0000EE"/>
                </w:rPr>
                <w:t>Incorporation of SoundHound AI, Inc.</w:t>
              </w:r>
            </w:hyperlink>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3">
              <w:r>
                <w:rPr>
                  <w:rFonts w:ascii="Times New Roman" w:cs="Times New Roman" w:eastAsia="Times New Roman" w:hAnsi="Times New Roman"/>
                  <w:sz w:val="17"/>
                  <w:szCs w:val="17"/>
                  <w:color w:val="0000EE"/>
                </w:rPr>
                <w:t>Amended   and   Restated   Bylaws   of</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2"/>
          </w:tcPr>
          <w:p>
            <w:pPr>
              <w:spacing w:after="0" w:line="188" w:lineRule="exact"/>
              <w:rPr>
                <w:rFonts w:ascii="Times New Roman" w:cs="Times New Roman" w:eastAsia="Times New Roman" w:hAnsi="Times New Roman"/>
                <w:sz w:val="17"/>
                <w:szCs w:val="17"/>
                <w:color w:val="0000EE"/>
              </w:rPr>
            </w:pPr>
            <w:hyperlink r:id="rId293">
              <w:r>
                <w:rPr>
                  <w:rFonts w:ascii="Times New Roman" w:cs="Times New Roman" w:eastAsia="Times New Roman" w:hAnsi="Times New Roman"/>
                  <w:sz w:val="17"/>
                  <w:szCs w:val="17"/>
                  <w:color w:val="0000EE"/>
                </w:rPr>
                <w:t>SoundHound AI, Inc.</w:t>
              </w:r>
            </w:hyperlink>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5">
              <w:r>
                <w:rPr>
                  <w:rFonts w:ascii="Times New Roman" w:cs="Times New Roman" w:eastAsia="Times New Roman" w:hAnsi="Times New Roman"/>
                  <w:sz w:val="17"/>
                  <w:szCs w:val="17"/>
                  <w:color w:val="0000EE"/>
                </w:rPr>
                <w:t>Form of Specimen Class A Common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0000EE"/>
              <w:bottom w:val="single" w:sz="8" w:color="0000EE"/>
            </w:tcBorders>
            <w:gridSpan w:val="3"/>
          </w:tcPr>
          <w:p>
            <w:pPr>
              <w:spacing w:after="0" w:line="188" w:lineRule="exact"/>
              <w:rPr>
                <w:rFonts w:ascii="Times New Roman" w:cs="Times New Roman" w:eastAsia="Times New Roman" w:hAnsi="Times New Roman"/>
                <w:sz w:val="17"/>
                <w:szCs w:val="17"/>
                <w:color w:val="0000EE"/>
                <w:w w:val="94"/>
              </w:rPr>
            </w:pPr>
            <w:hyperlink r:id="rId295">
              <w:r>
                <w:rPr>
                  <w:rFonts w:ascii="Times New Roman" w:cs="Times New Roman" w:eastAsia="Times New Roman" w:hAnsi="Times New Roman"/>
                  <w:sz w:val="17"/>
                  <w:szCs w:val="17"/>
                  <w:color w:val="0000EE"/>
                  <w:w w:val="94"/>
                </w:rPr>
                <w:t>Certificate.</w:t>
              </w:r>
            </w:hyperlink>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1"/>
                <w:szCs w:val="21"/>
                <w:color w:val="auto"/>
              </w:rPr>
            </w:pPr>
          </w:p>
        </w:tc>
        <w:tc>
          <w:tcPr>
            <w:tcW w:w="268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9"/>
              </w:rPr>
            </w:pPr>
            <w:hyperlink r:id="rId296">
              <w:r>
                <w:rPr>
                  <w:rFonts w:ascii="Times New Roman" w:cs="Times New Roman" w:eastAsia="Times New Roman" w:hAnsi="Times New Roman"/>
                  <w:sz w:val="17"/>
                  <w:szCs w:val="17"/>
                  <w:color w:val="0000EE"/>
                  <w:w w:val="99"/>
                </w:rPr>
                <w:t>Form of Specimen Warrant Certificate.</w:t>
              </w:r>
            </w:hyperlink>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21"/>
                <w:szCs w:val="21"/>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Opinion of Ellenoff Grossman &amp; Schole LLP.</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3140" w:type="dxa"/>
            <w:vAlign w:val="bottom"/>
            <w:tcBorders>
              <w:top w:val="single" w:sz="8" w:color="0000EE"/>
            </w:tcBorders>
            <w:gridSpan w:val="22"/>
          </w:tcPr>
          <w:p>
            <w:pPr>
              <w:spacing w:after="0"/>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Form of PIPE Subscription Agreement.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21"/>
                <w:szCs w:val="21"/>
                <w:color w:val="auto"/>
              </w:rPr>
            </w:pPr>
          </w:p>
        </w:tc>
        <w:tc>
          <w:tcPr>
            <w:tcW w:w="20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7"/>
                <w:szCs w:val="17"/>
                <w:color w:val="0000EE"/>
                <w:w w:val="99"/>
              </w:rPr>
            </w:pPr>
            <w:hyperlink r:id="rId299">
              <w:r>
                <w:rPr>
                  <w:rFonts w:ascii="Times New Roman" w:cs="Times New Roman" w:eastAsia="Times New Roman" w:hAnsi="Times New Roman"/>
                  <w:sz w:val="17"/>
                  <w:szCs w:val="17"/>
                  <w:color w:val="0000EE"/>
                  <w:w w:val="99"/>
                </w:rPr>
                <w:t>Form of Lock-Up Agreement.</w:t>
              </w:r>
            </w:hyperlink>
          </w:p>
        </w:tc>
        <w:tc>
          <w:tcPr>
            <w:tcW w:w="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Amended and Restated Registration Rights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Agreement, dated April 26, 2022, by and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between SoundHound AI, Inc. and certain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17"/>
          </w:tcPr>
          <w:p>
            <w:pPr>
              <w:spacing w:after="0" w:line="188" w:lineRule="exact"/>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stockholders of SoundHound AI, Inc.</w:t>
              </w:r>
            </w:hyperlink>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SoundHound AI, Inc. 2022 Incentive Award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0000EE"/>
            </w:tcBorders>
            <w:gridSpan w:val="3"/>
          </w:tcPr>
          <w:p>
            <w:pPr>
              <w:spacing w:after="0" w:line="188" w:lineRule="exact"/>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Plan.</w:t>
              </w:r>
            </w:hyperlink>
          </w:p>
        </w:tc>
        <w:tc>
          <w:tcPr>
            <w:tcW w:w="1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9"/>
                <w:szCs w:val="19"/>
                <w:color w:val="auto"/>
              </w:rPr>
            </w:pPr>
          </w:p>
        </w:tc>
        <w:tc>
          <w:tcPr>
            <w:tcW w:w="324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SoundHound AI, Inc. 2022 Employee Stock</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w w:val="97"/>
              </w:rPr>
            </w:pPr>
            <w:hyperlink r:id="rId302">
              <w:r>
                <w:rPr>
                  <w:rFonts w:ascii="Times New Roman" w:cs="Times New Roman" w:eastAsia="Times New Roman" w:hAnsi="Times New Roman"/>
                  <w:sz w:val="17"/>
                  <w:szCs w:val="17"/>
                  <w:color w:val="0000EE"/>
                  <w:w w:val="97"/>
                </w:rPr>
                <w:t>Purchase Plan.</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21"/>
                <w:szCs w:val="21"/>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Form of Restricted Stock Unit Agreement.</w:t>
              </w:r>
            </w:hyperlink>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1"/>
                <w:szCs w:val="21"/>
                <w:color w:val="auto"/>
              </w:rPr>
            </w:pPr>
          </w:p>
        </w:tc>
        <w:tc>
          <w:tcPr>
            <w:tcW w:w="2920" w:type="dxa"/>
            <w:vAlign w:val="bottom"/>
            <w:tcBorders>
              <w:top w:val="single" w:sz="8" w:color="0000EE"/>
            </w:tcBorders>
            <w:gridSpan w:val="20"/>
          </w:tcPr>
          <w:p>
            <w:pPr>
              <w:spacing w:after="0"/>
              <w:rPr>
                <w:rFonts w:ascii="Times New Roman" w:cs="Times New Roman" w:eastAsia="Times New Roman" w:hAnsi="Times New Roman"/>
                <w:sz w:val="17"/>
                <w:szCs w:val="17"/>
                <w:color w:val="0000EE"/>
              </w:rPr>
            </w:pPr>
            <w:hyperlink r:id="rId304">
              <w:r>
                <w:rPr>
                  <w:rFonts w:ascii="Times New Roman" w:cs="Times New Roman" w:eastAsia="Times New Roman" w:hAnsi="Times New Roman"/>
                  <w:sz w:val="17"/>
                  <w:szCs w:val="17"/>
                  <w:color w:val="0000EE"/>
                </w:rPr>
                <w:t>Form of Stock Option Award Agreement.</w:t>
              </w:r>
            </w:hyperlink>
          </w:p>
        </w:tc>
        <w:tc>
          <w:tcPr>
            <w:tcW w:w="3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1"/>
                <w:szCs w:val="21"/>
                <w:color w:val="auto"/>
              </w:rPr>
            </w:pPr>
          </w:p>
        </w:tc>
        <w:tc>
          <w:tcPr>
            <w:tcW w:w="2680" w:type="dxa"/>
            <w:vAlign w:val="bottom"/>
            <w:tcBorders>
              <w:top w:val="single" w:sz="8" w:color="0000EE"/>
            </w:tcBorders>
            <w:gridSpan w:val="17"/>
          </w:tcPr>
          <w:p>
            <w:pPr>
              <w:spacing w:after="0"/>
              <w:rPr>
                <w:rFonts w:ascii="Times New Roman" w:cs="Times New Roman" w:eastAsia="Times New Roman" w:hAnsi="Times New Roman"/>
                <w:sz w:val="17"/>
                <w:szCs w:val="17"/>
                <w:color w:val="0000EE"/>
              </w:rPr>
            </w:pPr>
            <w:hyperlink r:id="rId305">
              <w:r>
                <w:rPr>
                  <w:rFonts w:ascii="Times New Roman" w:cs="Times New Roman" w:eastAsia="Times New Roman" w:hAnsi="Times New Roman"/>
                  <w:sz w:val="17"/>
                  <w:szCs w:val="17"/>
                  <w:color w:val="0000EE"/>
                </w:rPr>
                <w:t>Form of Indemnity Agreement.</w:t>
              </w:r>
            </w:hyperlink>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Employment</w:t>
              </w:r>
            </w:hyperlink>
          </w:p>
        </w:tc>
        <w:tc>
          <w:tcPr>
            <w:tcW w:w="1060" w:type="dxa"/>
            <w:vAlign w:val="bottom"/>
            <w:gridSpan w:val="7"/>
          </w:tcPr>
          <w:p>
            <w:pPr>
              <w:ind w:left="120"/>
              <w:spacing w:after="0"/>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Agreement</w:t>
              </w:r>
            </w:hyperlink>
          </w:p>
        </w:tc>
        <w:tc>
          <w:tcPr>
            <w:tcW w:w="620" w:type="dxa"/>
            <w:vAlign w:val="bottom"/>
            <w:gridSpan w:val="5"/>
          </w:tcPr>
          <w:p>
            <w:pPr>
              <w:ind w:left="60"/>
              <w:spacing w:after="0"/>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with</w:t>
              </w:r>
            </w:hyperlink>
          </w:p>
        </w:tc>
        <w:tc>
          <w:tcPr>
            <w:tcW w:w="560" w:type="dxa"/>
            <w:vAlign w:val="bottom"/>
            <w:gridSpan w:val="7"/>
          </w:tcPr>
          <w:p>
            <w:pPr>
              <w:jc w:val="right"/>
              <w:ind w:right="20"/>
              <w:spacing w:after="0"/>
              <w:rPr>
                <w:rFonts w:ascii="Times New Roman" w:cs="Times New Roman" w:eastAsia="Times New Roman" w:hAnsi="Times New Roman"/>
                <w:sz w:val="17"/>
                <w:szCs w:val="17"/>
                <w:color w:val="0000EE"/>
                <w:w w:val="98"/>
              </w:rPr>
            </w:pPr>
            <w:hyperlink r:id="rId306">
              <w:r>
                <w:rPr>
                  <w:rFonts w:ascii="Times New Roman" w:cs="Times New Roman" w:eastAsia="Times New Roman" w:hAnsi="Times New Roman"/>
                  <w:sz w:val="17"/>
                  <w:szCs w:val="17"/>
                  <w:color w:val="0000EE"/>
                  <w:w w:val="98"/>
                </w:rPr>
                <w:t>Keyvan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0000EE"/>
              <w:bottom w:val="single" w:sz="8" w:color="0000EE"/>
            </w:tcBorders>
            <w:gridSpan w:val="3"/>
          </w:tcPr>
          <w:p>
            <w:pPr>
              <w:spacing w:after="0" w:line="188" w:lineRule="exact"/>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Mohajer,</w:t>
              </w:r>
            </w:hyperlink>
          </w:p>
        </w:tc>
        <w:tc>
          <w:tcPr>
            <w:tcW w:w="1320" w:type="dxa"/>
            <w:vAlign w:val="bottom"/>
            <w:tcBorders>
              <w:top w:val="single" w:sz="8" w:color="0000EE"/>
              <w:bottom w:val="single" w:sz="8" w:color="0000EE"/>
            </w:tcBorders>
            <w:gridSpan w:val="9"/>
          </w:tcPr>
          <w:p>
            <w:pPr>
              <w:jc w:val="right"/>
              <w:ind w:right="60"/>
              <w:spacing w:after="0" w:line="188" w:lineRule="exact"/>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Chief  Executive</w:t>
              </w:r>
            </w:hyperlink>
          </w:p>
        </w:tc>
        <w:tc>
          <w:tcPr>
            <w:tcW w:w="80" w:type="dxa"/>
            <w:vAlign w:val="bottom"/>
            <w:tcBorders>
              <w:top w:val="single" w:sz="8" w:color="0000EE"/>
              <w:bottom w:val="single" w:sz="8" w:color="0000EE"/>
            </w:tcBorders>
          </w:tcPr>
          <w:p>
            <w:pPr>
              <w:spacing w:after="0"/>
              <w:rPr>
                <w:sz w:val="16"/>
                <w:szCs w:val="16"/>
                <w:color w:val="auto"/>
              </w:rPr>
            </w:pPr>
          </w:p>
        </w:tc>
        <w:tc>
          <w:tcPr>
            <w:tcW w:w="540" w:type="dxa"/>
            <w:vAlign w:val="bottom"/>
            <w:tcBorders>
              <w:top w:val="single" w:sz="8" w:color="0000EE"/>
              <w:bottom w:val="single" w:sz="8" w:color="0000EE"/>
            </w:tcBorders>
            <w:gridSpan w:val="4"/>
          </w:tcPr>
          <w:p>
            <w:pPr>
              <w:jc w:val="center"/>
              <w:spacing w:after="0" w:line="188" w:lineRule="exact"/>
              <w:rPr>
                <w:rFonts w:ascii="Times New Roman" w:cs="Times New Roman" w:eastAsia="Times New Roman" w:hAnsi="Times New Roman"/>
                <w:sz w:val="17"/>
                <w:szCs w:val="17"/>
                <w:color w:val="0000EE"/>
                <w:w w:val="97"/>
              </w:rPr>
            </w:pPr>
            <w:hyperlink r:id="rId306">
              <w:r>
                <w:rPr>
                  <w:rFonts w:ascii="Times New Roman" w:cs="Times New Roman" w:eastAsia="Times New Roman" w:hAnsi="Times New Roman"/>
                  <w:sz w:val="17"/>
                  <w:szCs w:val="17"/>
                  <w:color w:val="0000EE"/>
                  <w:w w:val="97"/>
                </w:rPr>
                <w:t>Officer,</w:t>
              </w:r>
            </w:hyperlink>
          </w:p>
        </w:tc>
        <w:tc>
          <w:tcPr>
            <w:tcW w:w="20" w:type="dxa"/>
            <w:vAlign w:val="bottom"/>
            <w:tcBorders>
              <w:top w:val="single" w:sz="8" w:color="0000EE"/>
              <w:bottom w:val="single" w:sz="8" w:color="0000EE"/>
            </w:tcBorders>
          </w:tcPr>
          <w:p>
            <w:pPr>
              <w:spacing w:after="0"/>
              <w:rPr>
                <w:sz w:val="16"/>
                <w:szCs w:val="16"/>
                <w:color w:val="auto"/>
              </w:rPr>
            </w:pPr>
          </w:p>
        </w:tc>
        <w:tc>
          <w:tcPr>
            <w:tcW w:w="520" w:type="dxa"/>
            <w:vAlign w:val="bottom"/>
            <w:tcBorders>
              <w:top w:val="single" w:sz="8" w:color="0000EE"/>
              <w:bottom w:val="single" w:sz="8" w:color="0000EE"/>
            </w:tcBorders>
            <w:gridSpan w:val="5"/>
          </w:tcPr>
          <w:p>
            <w:pPr>
              <w:jc w:val="right"/>
              <w:spacing w:after="0" w:line="188" w:lineRule="exact"/>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dated</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06">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Employment Agreement with Nitesh Sharan,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top w:val="single" w:sz="8" w:color="0000EE"/>
            </w:tcBorders>
            <w:gridSpan w:val="23"/>
          </w:tcPr>
          <w:p>
            <w:pPr>
              <w:spacing w:after="0" w:line="188" w:lineRule="exact"/>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Chief Financial Officer, dated June 2, 2022.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6"/>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9"/>
                <w:szCs w:val="19"/>
                <w:color w:val="auto"/>
              </w:rPr>
            </w:pPr>
          </w:p>
        </w:tc>
        <w:tc>
          <w:tcPr>
            <w:tcW w:w="1000" w:type="dxa"/>
            <w:vAlign w:val="bottom"/>
            <w:gridSpan w:val="5"/>
          </w:tcPr>
          <w:p>
            <w:pPr>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Employment</w:t>
              </w:r>
            </w:hyperlink>
          </w:p>
        </w:tc>
        <w:tc>
          <w:tcPr>
            <w:tcW w:w="1060" w:type="dxa"/>
            <w:vAlign w:val="bottom"/>
            <w:gridSpan w:val="7"/>
          </w:tcPr>
          <w:p>
            <w:pPr>
              <w:ind w:left="100"/>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Agreement</w:t>
              </w:r>
            </w:hyperlink>
          </w:p>
        </w:tc>
        <w:tc>
          <w:tcPr>
            <w:tcW w:w="1180" w:type="dxa"/>
            <w:vAlign w:val="bottom"/>
            <w:gridSpan w:val="12"/>
          </w:tcPr>
          <w:p>
            <w:pPr>
              <w:jc w:val="right"/>
              <w:ind w:right="20"/>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with   Timothy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Stonehocker, Chief Technology Officer, dated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0000EE"/>
            </w:tcBorders>
            <w:gridSpan w:val="4"/>
          </w:tcPr>
          <w:p>
            <w:pPr>
              <w:spacing w:after="0" w:line="188" w:lineRule="exact"/>
              <w:rPr>
                <w:rFonts w:ascii="Times New Roman" w:cs="Times New Roman" w:eastAsia="Times New Roman" w:hAnsi="Times New Roman"/>
                <w:sz w:val="17"/>
                <w:szCs w:val="17"/>
                <w:color w:val="0000EE"/>
                <w:w w:val="97"/>
              </w:rPr>
            </w:pPr>
            <w:hyperlink r:id="rId308">
              <w:r>
                <w:rPr>
                  <w:rFonts w:ascii="Times New Roman" w:cs="Times New Roman" w:eastAsia="Times New Roman" w:hAnsi="Times New Roman"/>
                  <w:sz w:val="17"/>
                  <w:szCs w:val="17"/>
                  <w:color w:val="0000EE"/>
                  <w:w w:val="97"/>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21"/>
                <w:szCs w:val="21"/>
                <w:color w:val="auto"/>
              </w:rPr>
            </w:pPr>
          </w:p>
        </w:tc>
        <w:tc>
          <w:tcPr>
            <w:tcW w:w="3220" w:type="dxa"/>
            <w:vAlign w:val="bottom"/>
            <w:tcBorders>
              <w:bottom w:val="single" w:sz="8" w:color="0000EE"/>
            </w:tcBorders>
            <w:gridSpan w:val="23"/>
          </w:tcPr>
          <w:p>
            <w:pPr>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Non-Employee Director Compensation Policy.</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Common Stock Purchase Agreement, dated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4"/>
          </w:tcPr>
          <w:p>
            <w:pPr>
              <w:spacing w:after="0" w:line="188" w:lineRule="exact"/>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of  August  16,  2022,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4"/>
          </w:tcPr>
          <w:p>
            <w:pPr>
              <w:spacing w:after="0" w:line="188" w:lineRule="exact"/>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top w:val="single" w:sz="8" w:color="0000EE"/>
              <w:bottom w:val="single" w:sz="8" w:color="0000EE"/>
            </w:tcBorders>
            <w:gridSpan w:val="7"/>
          </w:tcPr>
          <w:p>
            <w:pPr>
              <w:spacing w:after="0" w:line="188" w:lineRule="exact"/>
              <w:rPr>
                <w:rFonts w:ascii="Times New Roman" w:cs="Times New Roman" w:eastAsia="Times New Roman" w:hAnsi="Times New Roman"/>
                <w:sz w:val="17"/>
                <w:szCs w:val="17"/>
                <w:color w:val="0000EE"/>
                <w:w w:val="99"/>
              </w:rPr>
            </w:pPr>
            <w:hyperlink r:id="rId310">
              <w:r>
                <w:rPr>
                  <w:rFonts w:ascii="Times New Roman" w:cs="Times New Roman" w:eastAsia="Times New Roman" w:hAnsi="Times New Roman"/>
                  <w:sz w:val="17"/>
                  <w:szCs w:val="17"/>
                  <w:color w:val="0000EE"/>
                  <w:w w:val="99"/>
                </w:rPr>
                <w:t>Investments LLC.</w:t>
              </w:r>
            </w:hyperlink>
          </w:p>
        </w:tc>
        <w:tc>
          <w:tcPr>
            <w:tcW w:w="820" w:type="dxa"/>
            <w:vAlign w:val="bottom"/>
            <w:tcBorders>
              <w:top w:val="single" w:sz="8" w:color="0000EE"/>
            </w:tcBorders>
            <w:gridSpan w:val="5"/>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19"/>
                <w:szCs w:val="19"/>
                <w:color w:val="auto"/>
              </w:rPr>
            </w:pPr>
          </w:p>
        </w:tc>
        <w:tc>
          <w:tcPr>
            <w:tcW w:w="3240" w:type="dxa"/>
            <w:vAlign w:val="bottom"/>
            <w:gridSpan w:val="24"/>
          </w:tcPr>
          <w:p>
            <w:pPr>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Registration Rights Agreement,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August   16,   2022,   by   and   between</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4"/>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tcBorders>
              <w:top w:val="single" w:sz="8" w:color="0000EE"/>
            </w:tcBorders>
            <w:gridSpan w:val="12"/>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tcPr>
          <w:p>
            <w:pPr>
              <w:spacing w:after="0"/>
              <w:rPr>
                <w:sz w:val="19"/>
                <w:szCs w:val="19"/>
                <w:color w:val="auto"/>
              </w:rPr>
            </w:pPr>
          </w:p>
        </w:tc>
        <w:tc>
          <w:tcPr>
            <w:tcW w:w="324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7"/>
                <w:szCs w:val="17"/>
                <w:color w:val="0000EE"/>
              </w:rPr>
              <w:t>Amended   and   Restated   Side   Letter</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24"/>
          </w:tcPr>
          <w:p>
            <w:pPr>
              <w:spacing w:after="0" w:line="188" w:lineRule="exact"/>
              <w:rPr>
                <w:sz w:val="20"/>
                <w:szCs w:val="20"/>
                <w:color w:val="auto"/>
              </w:rPr>
            </w:pPr>
            <w:r>
              <w:rPr>
                <w:rFonts w:ascii="Times New Roman" w:cs="Times New Roman" w:eastAsia="Times New Roman" w:hAnsi="Times New Roman"/>
                <w:sz w:val="17"/>
                <w:szCs w:val="17"/>
                <w:color w:val="0000EE"/>
              </w:rPr>
              <w:t>Agreement, dated as of November 15,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7"/>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Borders>
              <w:bottom w:val="single" w:sz="8" w:color="0000EE"/>
            </w:tcBorders>
            <w:gridSpan w:val="24"/>
          </w:tcPr>
          <w:p>
            <w:pPr>
              <w:spacing w:after="0" w:line="188" w:lineRule="exact"/>
              <w:rPr>
                <w:sz w:val="20"/>
                <w:szCs w:val="20"/>
                <w:color w:val="auto"/>
              </w:rPr>
            </w:pPr>
            <w:r>
              <w:rPr>
                <w:rFonts w:ascii="Times New Roman" w:cs="Times New Roman" w:eastAsia="Times New Roman" w:hAnsi="Times New Roman"/>
                <w:sz w:val="17"/>
                <w:szCs w:val="17"/>
                <w:color w:val="0000EE"/>
              </w:rPr>
              <w:t>by and between SoundHound AI, Inc. and CF</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12"/>
          </w:tcPr>
          <w:p>
            <w:pPr>
              <w:spacing w:after="0" w:line="188" w:lineRule="exact"/>
              <w:rPr>
                <w:sz w:val="20"/>
                <w:szCs w:val="20"/>
                <w:color w:val="auto"/>
              </w:rPr>
            </w:pPr>
            <w:r>
              <w:rPr>
                <w:rFonts w:ascii="Times New Roman" w:cs="Times New Roman" w:eastAsia="Times New Roman" w:hAnsi="Times New Roman"/>
                <w:sz w:val="17"/>
                <w:szCs w:val="17"/>
                <w:color w:val="0000EE"/>
              </w:rPr>
              <w:t>Principal Investments LLC.</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7"/>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7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12"/>
          </w:tcPr>
          <w:p>
            <w:pPr>
              <w:spacing w:after="0"/>
              <w:rPr>
                <w:rFonts w:ascii="Times New Roman" w:cs="Times New Roman" w:eastAsia="Times New Roman" w:hAnsi="Times New Roman"/>
                <w:sz w:val="17"/>
                <w:szCs w:val="17"/>
                <w:color w:val="0000EE"/>
              </w:rPr>
            </w:pPr>
            <w:hyperlink r:id="rId312">
              <w:r>
                <w:rPr>
                  <w:rFonts w:ascii="Times New Roman" w:cs="Times New Roman" w:eastAsia="Times New Roman" w:hAnsi="Times New Roman"/>
                  <w:sz w:val="17"/>
                  <w:szCs w:val="17"/>
                  <w:color w:val="0000EE"/>
                </w:rPr>
                <w:t>Subsidiaries of the Company.</w:t>
              </w:r>
            </w:hyperlink>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100" w:type="dxa"/>
            <w:vAlign w:val="bottom"/>
            <w:tcBorders>
              <w:right w:val="single" w:sz="8" w:color="0000EE"/>
            </w:tcBorders>
            <w:gridSpan w:val="7"/>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9"/>
                <w:szCs w:val="19"/>
                <w:color w:val="auto"/>
              </w:rPr>
            </w:pPr>
          </w:p>
        </w:tc>
        <w:tc>
          <w:tcPr>
            <w:tcW w:w="324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Consent of UHY LLP dated November 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7"/>
                <w:szCs w:val="17"/>
                <w:color w:val="0000EE"/>
                <w:w w:val="93"/>
              </w:rPr>
              <w:t>2022.</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9"/>
                <w:szCs w:val="19"/>
                <w:color w:val="auto"/>
              </w:rPr>
            </w:pPr>
          </w:p>
        </w:tc>
        <w:tc>
          <w:tcPr>
            <w:tcW w:w="7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rPr>
              <w:t>Consent</w:t>
            </w:r>
          </w:p>
        </w:tc>
        <w:tc>
          <w:tcPr>
            <w:tcW w:w="260" w:type="dxa"/>
            <w:vAlign w:val="bottom"/>
            <w:tcBorders>
              <w:bottom w:val="single" w:sz="8" w:color="0000EE"/>
            </w:tcBorders>
            <w:gridSpan w:val="2"/>
          </w:tcPr>
          <w:p>
            <w:pPr>
              <w:ind w:left="80"/>
              <w:spacing w:after="0"/>
              <w:rPr>
                <w:sz w:val="20"/>
                <w:szCs w:val="20"/>
                <w:color w:val="auto"/>
              </w:rPr>
            </w:pPr>
            <w:r>
              <w:rPr>
                <w:rFonts w:ascii="Times New Roman" w:cs="Times New Roman" w:eastAsia="Times New Roman" w:hAnsi="Times New Roman"/>
                <w:sz w:val="17"/>
                <w:szCs w:val="17"/>
                <w:color w:val="0000EE"/>
              </w:rPr>
              <w:t>of</w:t>
            </w:r>
          </w:p>
        </w:tc>
        <w:tc>
          <w:tcPr>
            <w:tcW w:w="2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20" w:type="dxa"/>
            <w:vAlign w:val="bottom"/>
            <w:tcBorders>
              <w:bottom w:val="single" w:sz="8" w:color="0000EE"/>
            </w:tcBorders>
          </w:tcPr>
          <w:p>
            <w:pPr>
              <w:spacing w:after="0"/>
              <w:rPr>
                <w:sz w:val="19"/>
                <w:szCs w:val="19"/>
                <w:color w:val="auto"/>
              </w:rPr>
            </w:pPr>
          </w:p>
        </w:tc>
        <w:tc>
          <w:tcPr>
            <w:tcW w:w="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7"/>
                <w:szCs w:val="17"/>
                <w:color w:val="0000EE"/>
              </w:rPr>
              <w:t>Armanino</w:t>
            </w:r>
          </w:p>
        </w:tc>
        <w:tc>
          <w:tcPr>
            <w:tcW w:w="80" w:type="dxa"/>
            <w:vAlign w:val="bottom"/>
            <w:tcBorders>
              <w:bottom w:val="single" w:sz="8" w:color="0000EE"/>
            </w:tcBorders>
          </w:tcPr>
          <w:p>
            <w:pPr>
              <w:spacing w:after="0"/>
              <w:rPr>
                <w:sz w:val="19"/>
                <w:szCs w:val="19"/>
                <w:color w:val="auto"/>
              </w:rPr>
            </w:pPr>
          </w:p>
        </w:tc>
        <w:tc>
          <w:tcPr>
            <w:tcW w:w="540" w:type="dxa"/>
            <w:vAlign w:val="bottom"/>
            <w:tcBorders>
              <w:bottom w:val="single" w:sz="8" w:color="0000EE"/>
            </w:tcBorders>
            <w:gridSpan w:val="4"/>
          </w:tcPr>
          <w:p>
            <w:pPr>
              <w:jc w:val="center"/>
              <w:spacing w:after="0"/>
              <w:rPr>
                <w:sz w:val="20"/>
                <w:szCs w:val="20"/>
                <w:color w:val="auto"/>
              </w:rPr>
            </w:pPr>
            <w:r>
              <w:rPr>
                <w:rFonts w:ascii="Times New Roman" w:cs="Times New Roman" w:eastAsia="Times New Roman" w:hAnsi="Times New Roman"/>
                <w:sz w:val="17"/>
                <w:szCs w:val="17"/>
                <w:color w:val="0000EE"/>
                <w:w w:val="99"/>
              </w:rPr>
              <w:t>LLP</w:t>
            </w:r>
          </w:p>
        </w:tc>
        <w:tc>
          <w:tcPr>
            <w:tcW w:w="20" w:type="dxa"/>
            <w:vAlign w:val="bottom"/>
            <w:tcBorders>
              <w:bottom w:val="single" w:sz="8" w:color="0000EE"/>
            </w:tcBorders>
          </w:tcPr>
          <w:p>
            <w:pPr>
              <w:spacing w:after="0"/>
              <w:rPr>
                <w:sz w:val="19"/>
                <w:szCs w:val="19"/>
                <w:color w:val="auto"/>
              </w:rPr>
            </w:pPr>
          </w:p>
        </w:tc>
        <w:tc>
          <w:tcPr>
            <w:tcW w:w="140" w:type="dxa"/>
            <w:vAlign w:val="bottom"/>
            <w:tcBorders>
              <w:bottom w:val="single" w:sz="8" w:color="0000EE"/>
            </w:tcBorders>
          </w:tcPr>
          <w:p>
            <w:pPr>
              <w:spacing w:after="0"/>
              <w:rPr>
                <w:sz w:val="19"/>
                <w:szCs w:val="19"/>
                <w:color w:val="auto"/>
              </w:rPr>
            </w:pPr>
          </w:p>
        </w:tc>
        <w:tc>
          <w:tcPr>
            <w:tcW w:w="400" w:type="dxa"/>
            <w:vAlign w:val="bottom"/>
            <w:tcBorders>
              <w:bottom w:val="single" w:sz="8" w:color="0000EE"/>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0000EE"/>
                <w:w w:val="97"/>
              </w:rPr>
              <w:t>dated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0000EE"/>
            </w:tcBorders>
            <w:gridSpan w:val="9"/>
          </w:tcPr>
          <w:p>
            <w:pPr>
              <w:spacing w:after="0" w:line="188" w:lineRule="exact"/>
              <w:rPr>
                <w:sz w:val="20"/>
                <w:szCs w:val="20"/>
                <w:color w:val="auto"/>
              </w:rPr>
            </w:pPr>
            <w:r>
              <w:rPr>
                <w:rFonts w:ascii="Times New Roman" w:cs="Times New Roman" w:eastAsia="Times New Roman" w:hAnsi="Times New Roman"/>
                <w:sz w:val="17"/>
                <w:szCs w:val="17"/>
                <w:color w:val="0000EE"/>
              </w:rPr>
              <w:t>November 22, 2022.</w:t>
            </w:r>
          </w:p>
        </w:tc>
        <w:tc>
          <w:tcPr>
            <w:tcW w:w="60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99.1</w:t>
            </w:r>
          </w:p>
        </w:tc>
        <w:tc>
          <w:tcPr>
            <w:tcW w:w="120" w:type="dxa"/>
            <w:vAlign w:val="bottom"/>
          </w:tcPr>
          <w:p>
            <w:pPr>
              <w:spacing w:after="0"/>
              <w:rPr>
                <w:sz w:val="21"/>
                <w:szCs w:val="21"/>
                <w:color w:val="auto"/>
              </w:rPr>
            </w:pPr>
          </w:p>
        </w:tc>
        <w:tc>
          <w:tcPr>
            <w:tcW w:w="2680" w:type="dxa"/>
            <w:vAlign w:val="bottom"/>
            <w:gridSpan w:val="17"/>
          </w:tcPr>
          <w:p>
            <w:pPr>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Press Release, dated April 27, 2022.</w:t>
              </w:r>
            </w:hyperlink>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80" w:type="dxa"/>
            <w:vAlign w:val="bottom"/>
            <w:gridSpan w:val="1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99.2</w:t>
            </w:r>
          </w:p>
        </w:tc>
        <w:tc>
          <w:tcPr>
            <w:tcW w:w="120" w:type="dxa"/>
            <w:vAlign w:val="bottom"/>
          </w:tcPr>
          <w:p>
            <w:pPr>
              <w:spacing w:after="0"/>
              <w:rPr>
                <w:sz w:val="19"/>
                <w:szCs w:val="19"/>
                <w:color w:val="auto"/>
              </w:rPr>
            </w:pPr>
          </w:p>
        </w:tc>
        <w:tc>
          <w:tcPr>
            <w:tcW w:w="324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Unaudited Pro Forma Condensed Combined</w:t>
              </w:r>
            </w:hyperlink>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17"/>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Financial Statements of the Company.</w:t>
              </w:r>
            </w:hyperlink>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-8250555</wp:posOffset>
            </wp:positionV>
            <wp:extent cx="4951095" cy="5613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5">
                      <a:extLst>
                        <a:ext uri="{28A0092B-C50C-407E-A947-70E740481C1C}"/>
                      </a:extLst>
                    </a:blip>
                    <a:srcRect/>
                    <a:stretch>
                      <a:fillRect/>
                    </a:stretch>
                  </pic:blipFill>
                  <pic:spPr bwMode="auto">
                    <a:xfrm>
                      <a:off x="0" y="0"/>
                      <a:ext cx="4951095" cy="56134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-7400925</wp:posOffset>
            </wp:positionV>
            <wp:extent cx="4951095" cy="28892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6">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-6938645</wp:posOffset>
            </wp:positionV>
            <wp:extent cx="4951095" cy="2889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7">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-6477000</wp:posOffset>
            </wp:positionV>
            <wp:extent cx="4951095" cy="1733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-6130290</wp:posOffset>
            </wp:positionV>
            <wp:extent cx="4951095" cy="1733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-5783580</wp:posOffset>
            </wp:positionV>
            <wp:extent cx="4951095" cy="5530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4951095" cy="55308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-4942205</wp:posOffset>
            </wp:positionV>
            <wp:extent cx="4951095" cy="2889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-4479925</wp:posOffset>
            </wp:positionV>
            <wp:extent cx="4951095" cy="1733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4951095" cy="17335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-4133215</wp:posOffset>
            </wp:positionV>
            <wp:extent cx="4951095" cy="421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4951095" cy="42100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-3423920</wp:posOffset>
            </wp:positionV>
            <wp:extent cx="4951095" cy="4210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4951095" cy="42100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-2829560</wp:posOffset>
            </wp:positionV>
            <wp:extent cx="4951095" cy="5530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4951095" cy="55308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-1724025</wp:posOffset>
            </wp:positionV>
            <wp:extent cx="4951095" cy="5530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4951095" cy="55308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-997585</wp:posOffset>
            </wp:positionV>
            <wp:extent cx="4951095" cy="2889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4951095" cy="28892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-420370</wp:posOffset>
            </wp:positionV>
            <wp:extent cx="4951095" cy="1733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4951095" cy="173355"/>
                    </a:xfrm>
                    <a:prstGeom prst="rect">
                      <a:avLst/>
                    </a:prstGeom>
                    <a:noFill/>
                  </pic:spPr>
                </pic:pic>
              </a:graphicData>
            </a:graphic>
          </wp:anchor>
        </w:drawing>
      </w:r>
    </w:p>
    <w:p>
      <w:pPr>
        <w:spacing w:after="0" w:line="1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41910</wp:posOffset>
            </wp:positionV>
            <wp:extent cx="228536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11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80" w:type="dxa"/>
            <w:vAlign w:val="bottom"/>
            <w:vMerge w:val="continue"/>
          </w:tcPr>
          <w:p>
            <w:pPr>
              <w:spacing w:after="0"/>
              <w:rPr>
                <w:sz w:val="19"/>
                <w:szCs w:val="19"/>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19,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5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Annex D</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Annex 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45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273"/>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87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0"/>
        <w:spacing w:after="0"/>
        <w:tabs>
          <w:tab w:leader="none" w:pos="1400" w:val="left"/>
          <w:tab w:leader="none" w:pos="234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color w:val="auto"/>
        </w:rPr>
        <w:t>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440" w:type="dxa"/>
        <w:tblCellMar>
          <w:top w:w="0" w:type="dxa"/>
          <w:left w:w="0" w:type="dxa"/>
          <w:bottom w:w="0" w:type="dxa"/>
          <w:right w:w="0" w:type="dxa"/>
        </w:tblCellMar>
      </w:tblPr>
      <w:tr>
        <w:trPr>
          <w:trHeight w:val="226"/>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99.1</w:t>
            </w:r>
          </w:p>
        </w:tc>
        <w:tc>
          <w:tcPr>
            <w:tcW w:w="12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9"/>
              </w:rPr>
              <w:t>May 2, 2022</w:t>
            </w:r>
          </w:p>
        </w:tc>
      </w:tr>
      <w:tr>
        <w:trPr>
          <w:trHeight w:val="273"/>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rPr>
              <w:t>99.2</w:t>
            </w:r>
          </w:p>
        </w:tc>
        <w:tc>
          <w:tcPr>
            <w:tcW w:w="12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9"/>
              </w:rPr>
              <w:t>May 2, 2022</w:t>
            </w:r>
          </w:p>
        </w:tc>
      </w:tr>
    </w:tbl>
    <w:p>
      <w:pPr>
        <w:sectPr>
          <w:pgSz w:w="11900" w:h="16838" w:orient="portrait"/>
          <w:cols w:equalWidth="0" w:num="2">
            <w:col w:w="4720" w:space="80"/>
            <w:col w:w="4219"/>
          </w:cols>
          <w:pgMar w:left="1440" w:top="264" w:right="1440" w:bottom="1440" w:gutter="0" w:footer="0" w:header="0"/>
        </w:sectPr>
      </w:pPr>
    </w:p>
    <w:bookmarkStart w:id="258" w:name="page259"/>
    <w:bookmarkEnd w:id="258"/>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4"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45"/>
        </w:trPr>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4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254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101.SCH</w:t>
            </w:r>
          </w:p>
        </w:tc>
        <w:tc>
          <w:tcPr>
            <w:tcW w:w="4280" w:type="dxa"/>
            <w:vAlign w:val="bottom"/>
            <w:gridSpan w:val="7"/>
          </w:tcPr>
          <w:p>
            <w:pPr>
              <w:ind w:left="10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Schema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Document.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101.CAL</w:t>
            </w:r>
          </w:p>
        </w:tc>
        <w:tc>
          <w:tcPr>
            <w:tcW w:w="660" w:type="dxa"/>
            <w:vAlign w:val="bottom"/>
            <w:gridSpan w:val="2"/>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Inline</w:t>
            </w:r>
          </w:p>
        </w:tc>
        <w:tc>
          <w:tcPr>
            <w:tcW w:w="9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XBRL</w:t>
            </w:r>
          </w:p>
        </w:tc>
        <w:tc>
          <w:tcPr>
            <w:tcW w:w="9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Taxonomy</w:t>
            </w:r>
          </w:p>
        </w:tc>
        <w:tc>
          <w:tcPr>
            <w:tcW w:w="17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Extension</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Calculation Linkbase Document.</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101.DEF</w:t>
            </w:r>
          </w:p>
        </w:tc>
        <w:tc>
          <w:tcPr>
            <w:tcW w:w="4280" w:type="dxa"/>
            <w:vAlign w:val="bottom"/>
            <w:gridSpan w:val="7"/>
          </w:tcPr>
          <w:p>
            <w:pPr>
              <w:ind w:left="10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Definition</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Linkbase Document.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6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101.LAB</w:t>
            </w:r>
          </w:p>
        </w:tc>
        <w:tc>
          <w:tcPr>
            <w:tcW w:w="4280" w:type="dxa"/>
            <w:vAlign w:val="bottom"/>
            <w:gridSpan w:val="7"/>
            <w:shd w:val="clear" w:color="auto" w:fill="CCEEFF"/>
          </w:tcPr>
          <w:p>
            <w:pPr>
              <w:ind w:left="10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Label</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Linkbase Document.</w:t>
            </w:r>
          </w:p>
        </w:tc>
        <w:tc>
          <w:tcPr>
            <w:tcW w:w="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Inline</w:t>
            </w: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Taxonomy</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Extension</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Times New Roman" w:cs="Times New Roman" w:eastAsia="Times New Roman" w:hAnsi="Times New Roman"/>
          <w:sz w:val="17"/>
          <w:szCs w:val="17"/>
          <w:color w:val="auto"/>
        </w:rPr>
        <w:t>Presentation Linkbase Document.</w:t>
      </w:r>
    </w:p>
    <w:p>
      <w:pPr>
        <w:spacing w:after="0" w:line="31" w:lineRule="exact"/>
        <w:rPr>
          <w:sz w:val="20"/>
          <w:szCs w:val="20"/>
          <w:color w:val="auto"/>
        </w:rPr>
      </w:pPr>
    </w:p>
    <w:p>
      <w:pPr>
        <w:ind w:left="1460" w:right="4319" w:hanging="854"/>
        <w:spacing w:after="0" w:line="279" w:lineRule="auto"/>
        <w:tabs>
          <w:tab w:leader="none" w:pos="146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-276225</wp:posOffset>
            </wp:positionV>
            <wp:extent cx="4951095" cy="2889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4951095" cy="288925"/>
                    </a:xfrm>
                    <a:prstGeom prst="rect">
                      <a:avLst/>
                    </a:prstGeom>
                    <a:noFill/>
                  </pic:spPr>
                </pic:pic>
              </a:graphicData>
            </a:graphic>
          </wp:anchor>
        </w:drawing>
      </w:r>
    </w:p>
    <w:p>
      <w:pPr>
        <w:ind w:left="60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332">
        <w:r>
          <w:rPr>
            <w:rFonts w:ascii="Times New Roman" w:cs="Times New Roman" w:eastAsia="Times New Roman" w:hAnsi="Times New Roman"/>
            <w:sz w:val="17"/>
            <w:szCs w:val="17"/>
            <w:u w:val="single" w:color="auto"/>
            <w:color w:val="0000EE"/>
          </w:rPr>
          <w:t>Calculation of Filing Fees Table.</w:t>
        </w:r>
      </w:hyperlink>
    </w:p>
    <w:p>
      <w:pPr>
        <w:spacing w:after="0" w:line="13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____________</w:t>
      </w:r>
    </w:p>
    <w:p>
      <w:pPr>
        <w:spacing w:after="0" w:line="102" w:lineRule="exact"/>
        <w:rPr>
          <w:sz w:val="20"/>
          <w:szCs w:val="20"/>
          <w:color w:val="auto"/>
        </w:rPr>
      </w:pPr>
    </w:p>
    <w:p>
      <w:pPr>
        <w:ind w:left="600" w:right="6279" w:firstLine="6"/>
        <w:spacing w:after="0" w:line="259" w:lineRule="auto"/>
        <w:tabs>
          <w:tab w:leader="none" w:pos="990"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 ** Previously filed.</w:t>
      </w:r>
    </w:p>
    <w:p>
      <w:pPr>
        <w:ind w:left="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Management contract or compensatory plan or arrangement.</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5" w:lineRule="exact"/>
        <w:rPr>
          <w:sz w:val="20"/>
          <w:szCs w:val="20"/>
          <w:color w:val="auto"/>
        </w:rPr>
      </w:pPr>
    </w:p>
    <w:p>
      <w:pPr>
        <w:ind w:left="1440" w:right="619" w:hanging="418"/>
        <w:spacing w:after="0" w:line="293"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2" w:lineRule="exact"/>
        <w:rPr>
          <w:rFonts w:ascii="Times New Roman" w:cs="Times New Roman" w:eastAsia="Times New Roman" w:hAnsi="Times New Roman"/>
          <w:sz w:val="17"/>
          <w:szCs w:val="17"/>
          <w:color w:val="auto"/>
        </w:rPr>
      </w:pPr>
    </w:p>
    <w:p>
      <w:pPr>
        <w:jc w:val="both"/>
        <w:ind w:left="1860" w:right="619" w:hanging="423"/>
        <w:spacing w:after="0" w:line="259" w:lineRule="auto"/>
        <w:tabs>
          <w:tab w:leader="none" w:pos="1825"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2"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7" w:lineRule="exact"/>
        <w:rPr>
          <w:rFonts w:ascii="Times New Roman" w:cs="Times New Roman" w:eastAsia="Times New Roman" w:hAnsi="Times New Roman"/>
          <w:sz w:val="17"/>
          <w:szCs w:val="17"/>
          <w:color w:val="auto"/>
        </w:rPr>
      </w:pPr>
    </w:p>
    <w:p>
      <w:pPr>
        <w:jc w:val="both"/>
        <w:ind w:left="1440" w:right="619" w:hanging="418"/>
        <w:spacing w:after="0" w:line="267"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1" w:lineRule="exact"/>
        <w:rPr>
          <w:rFonts w:ascii="Times New Roman" w:cs="Times New Roman" w:eastAsia="Times New Roman" w:hAnsi="Times New Roman"/>
          <w:sz w:val="17"/>
          <w:szCs w:val="17"/>
          <w:color w:val="auto"/>
        </w:rPr>
      </w:pPr>
    </w:p>
    <w:p>
      <w:pPr>
        <w:ind w:left="1440" w:right="619" w:hanging="418"/>
        <w:spacing w:after="0" w:line="293" w:lineRule="auto"/>
        <w:tabs>
          <w:tab w:leader="none" w:pos="1414"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1" w:lineRule="exact"/>
        <w:rPr>
          <w:rFonts w:ascii="Times New Roman" w:cs="Times New Roman" w:eastAsia="Times New Roman" w:hAnsi="Times New Roman"/>
          <w:sz w:val="17"/>
          <w:szCs w:val="17"/>
          <w:color w:val="auto"/>
        </w:rPr>
      </w:pPr>
    </w:p>
    <w:p>
      <w:pPr>
        <w:ind w:left="1420" w:hanging="398"/>
        <w:spacing w:after="0"/>
        <w:tabs>
          <w:tab w:leader="none" w:pos="142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w:t>
      </w:r>
    </w:p>
    <w:p>
      <w:pPr>
        <w:spacing w:after="0" w:line="155" w:lineRule="exact"/>
        <w:rPr>
          <w:rFonts w:ascii="Times New Roman" w:cs="Times New Roman" w:eastAsia="Times New Roman" w:hAnsi="Times New Roman"/>
          <w:sz w:val="17"/>
          <w:szCs w:val="17"/>
          <w:color w:val="auto"/>
        </w:rPr>
      </w:pPr>
    </w:p>
    <w:p>
      <w:pPr>
        <w:ind w:left="1820" w:hanging="383"/>
        <w:spacing w:after="0"/>
        <w:tabs>
          <w:tab w:leader="none" w:pos="1820"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142" w:lineRule="exact"/>
        <w:rPr>
          <w:rFonts w:ascii="Times New Roman" w:cs="Times New Roman" w:eastAsia="Times New Roman" w:hAnsi="Times New Roman"/>
          <w:sz w:val="17"/>
          <w:szCs w:val="17"/>
          <w:color w:val="auto"/>
        </w:rPr>
      </w:pPr>
    </w:p>
    <w:p>
      <w:pPr>
        <w:jc w:val="both"/>
        <w:ind w:left="2260" w:right="619" w:hanging="407"/>
        <w:spacing w:after="0" w:line="274" w:lineRule="auto"/>
        <w:tabs>
          <w:tab w:leader="none" w:pos="2257" w:val="left"/>
        </w:tabs>
        <w:numPr>
          <w:ilvl w:val="2"/>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9" w:name="page260"/>
    <w:bookmarkEnd w:id="259"/>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2260" w:right="619" w:hanging="407"/>
        <w:spacing w:after="0" w:line="257" w:lineRule="auto"/>
        <w:tabs>
          <w:tab w:leader="none" w:pos="221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17" w:lineRule="exact"/>
        <w:rPr>
          <w:sz w:val="20"/>
          <w:szCs w:val="20"/>
          <w:color w:val="auto"/>
        </w:rPr>
      </w:pPr>
    </w:p>
    <w:p>
      <w:pPr>
        <w:jc w:val="both"/>
        <w:ind w:left="2260" w:right="619" w:hanging="407"/>
        <w:spacing w:after="0" w:line="259" w:lineRule="auto"/>
        <w:tabs>
          <w:tab w:leader="none" w:pos="2225" w:val="left"/>
        </w:tabs>
        <w:numPr>
          <w:ilvl w:val="2"/>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09" w:lineRule="exact"/>
        <w:rPr>
          <w:rFonts w:ascii="Times New Roman" w:cs="Times New Roman" w:eastAsia="Times New Roman" w:hAnsi="Times New Roman"/>
          <w:sz w:val="17"/>
          <w:szCs w:val="17"/>
          <w:color w:val="auto"/>
        </w:rPr>
      </w:pPr>
    </w:p>
    <w:p>
      <w:pPr>
        <w:jc w:val="both"/>
        <w:ind w:left="1440" w:right="619" w:hanging="418"/>
        <w:spacing w:after="0" w:line="262" w:lineRule="auto"/>
        <w:tabs>
          <w:tab w:leader="none" w:pos="141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6"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8"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81"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5"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60" w:right="619" w:hanging="423"/>
        <w:spacing w:after="0" w:line="274" w:lineRule="auto"/>
        <w:tabs>
          <w:tab w:leader="none" w:pos="183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84" w:lineRule="exact"/>
        <w:rPr>
          <w:rFonts w:ascii="Times New Roman" w:cs="Times New Roman" w:eastAsia="Times New Roman" w:hAnsi="Times New Roman"/>
          <w:sz w:val="17"/>
          <w:szCs w:val="17"/>
          <w:color w:val="auto"/>
        </w:rPr>
      </w:pPr>
    </w:p>
    <w:p>
      <w:pPr>
        <w:ind w:left="1860" w:right="619" w:hanging="423"/>
        <w:spacing w:after="0" w:line="293" w:lineRule="auto"/>
        <w:tabs>
          <w:tab w:leader="none" w:pos="1824"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81" w:lineRule="exact"/>
        <w:rPr>
          <w:rFonts w:ascii="Times New Roman" w:cs="Times New Roman" w:eastAsia="Times New Roman" w:hAnsi="Times New Roman"/>
          <w:sz w:val="17"/>
          <w:szCs w:val="17"/>
          <w:color w:val="auto"/>
        </w:rPr>
      </w:pPr>
    </w:p>
    <w:p>
      <w:pPr>
        <w:jc w:val="both"/>
        <w:ind w:left="1440" w:right="619" w:hanging="418"/>
        <w:spacing w:after="0" w:line="274" w:lineRule="auto"/>
        <w:tabs>
          <w:tab w:leader="none" w:pos="1414"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0" w:name="page261"/>
    <w:bookmarkEnd w:id="260"/>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20" w:hanging="398"/>
        <w:spacing w:after="0"/>
        <w:tabs>
          <w:tab w:leader="none" w:pos="1420"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55" w:lineRule="exact"/>
        <w:rPr>
          <w:rFonts w:ascii="Times New Roman" w:cs="Times New Roman" w:eastAsia="Times New Roman" w:hAnsi="Times New Roman"/>
          <w:sz w:val="17"/>
          <w:szCs w:val="17"/>
          <w:color w:val="auto"/>
        </w:rPr>
      </w:pPr>
    </w:p>
    <w:p>
      <w:pPr>
        <w:jc w:val="both"/>
        <w:ind w:left="1860" w:right="619" w:hanging="423"/>
        <w:spacing w:after="0" w:line="264" w:lineRule="auto"/>
        <w:tabs>
          <w:tab w:leader="none" w:pos="1828"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7" w:lineRule="exact"/>
        <w:rPr>
          <w:rFonts w:ascii="Times New Roman" w:cs="Times New Roman" w:eastAsia="Times New Roman" w:hAnsi="Times New Roman"/>
          <w:sz w:val="17"/>
          <w:szCs w:val="17"/>
          <w:color w:val="auto"/>
        </w:rPr>
      </w:pPr>
    </w:p>
    <w:p>
      <w:pPr>
        <w:jc w:val="both"/>
        <w:ind w:left="1860" w:right="619" w:hanging="423"/>
        <w:spacing w:after="0" w:line="267" w:lineRule="auto"/>
        <w:tabs>
          <w:tab w:leader="none" w:pos="1825" w:val="left"/>
        </w:tabs>
        <w:numPr>
          <w:ilvl w:val="1"/>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2" w:lineRule="exact"/>
        <w:rPr>
          <w:sz w:val="20"/>
          <w:szCs w:val="20"/>
          <w:color w:val="auto"/>
        </w:rPr>
      </w:pPr>
    </w:p>
    <w:p>
      <w:pPr>
        <w:jc w:val="both"/>
        <w:ind w:left="600" w:right="619" w:firstLine="416"/>
        <w:spacing w:after="0" w:line="25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1" w:name="page262"/>
    <w:bookmarkEnd w:id="261"/>
    <w:p>
      <w:pPr>
        <w:ind w:left="60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ind w:left="600" w:right="619" w:firstLine="416"/>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Santa Clara, State of California, on the 22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7"/>
          <w:szCs w:val="17"/>
          <w:color w:val="auto"/>
        </w:rPr>
        <w:t xml:space="preserve"> day of November, 2022.</w:t>
      </w:r>
    </w:p>
    <w:p>
      <w:pPr>
        <w:spacing w:after="0" w:line="11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8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 Dr. Keyvan Mohajer</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-120015</wp:posOffset>
            </wp:positionV>
            <wp:extent cx="19227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1922780"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6" w:lineRule="exact"/>
        <w:rPr>
          <w:sz w:val="20"/>
          <w:szCs w:val="20"/>
          <w:color w:val="auto"/>
        </w:rPr>
      </w:pPr>
    </w:p>
    <w:p>
      <w:pPr>
        <w:jc w:val="both"/>
        <w:ind w:left="600" w:right="619" w:firstLine="416"/>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600" w:type="dxa"/>
        <w:tblCellMar>
          <w:top w:w="0" w:type="dxa"/>
          <w:left w:w="0" w:type="dxa"/>
          <w:bottom w:w="0" w:type="dxa"/>
          <w:right w:w="0" w:type="dxa"/>
        </w:tblCellMar>
      </w:tblPr>
      <w:tr>
        <w:trPr>
          <w:trHeight w:val="205"/>
        </w:trPr>
        <w:tc>
          <w:tcPr>
            <w:tcW w:w="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 Nitesh Sharan</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James Hom</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22, 2022</w:t>
            </w:r>
          </w:p>
        </w:tc>
        <w:tc>
          <w:tcPr>
            <w:tcW w:w="0" w:type="dxa"/>
            <w:vAlign w:val="bottom"/>
          </w:tcPr>
          <w:p>
            <w:pPr>
              <w:spacing w:after="0"/>
              <w:rPr>
                <w:sz w:val="1"/>
                <w:szCs w:val="1"/>
                <w:color w:val="auto"/>
              </w:rPr>
            </w:pPr>
          </w:p>
        </w:tc>
      </w:tr>
      <w:tr>
        <w:trPr>
          <w:trHeight w:val="39"/>
        </w:trPr>
        <w:tc>
          <w:tcPr>
            <w:tcW w:w="2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By:</w:t>
            </w: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8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640" w:type="dxa"/>
            <w:vAlign w:val="bottom"/>
            <w:gridSpan w:val="2"/>
            <w:vMerge w:val="continue"/>
          </w:tcPr>
          <w:p>
            <w:pPr>
              <w:spacing w:after="0"/>
              <w:rPr>
                <w:sz w:val="15"/>
                <w:szCs w:val="15"/>
                <w:color w:val="auto"/>
              </w:rPr>
            </w:pPr>
          </w:p>
        </w:tc>
        <w:tc>
          <w:tcPr>
            <w:tcW w:w="1840" w:type="dxa"/>
            <w:vAlign w:val="bottom"/>
          </w:tcPr>
          <w:p>
            <w:pPr>
              <w:spacing w:after="0" w:line="183" w:lineRule="exact"/>
              <w:rPr>
                <w:sz w:val="20"/>
                <w:szCs w:val="20"/>
                <w:color w:val="auto"/>
              </w:rPr>
            </w:pPr>
            <w:r>
              <w:rPr>
                <w:rFonts w:ascii="Times New Roman" w:cs="Times New Roman" w:eastAsia="Times New Roman" w:hAnsi="Times New Roman"/>
                <w:sz w:val="17"/>
                <w:szCs w:val="17"/>
                <w:color w:val="auto"/>
              </w:rPr>
              <w:t>Dr. Keyvan Mohajer</w:t>
            </w:r>
          </w:p>
        </w:tc>
        <w:tc>
          <w:tcPr>
            <w:tcW w:w="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19685</wp:posOffset>
            </wp:positionV>
            <wp:extent cx="49510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495109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21"/>
          <w:szCs w:val="21"/>
          <w:b w:val="1"/>
          <w:bCs w:val="1"/>
          <w:color w:val="auto"/>
        </w:rPr>
        <w:t>Exhibit 10.15</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 Principal Investments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499 Park Avenue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 Betsy Ross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November 22, 2022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Reference is made to the Common Stock Purchase Agreement dated as of August 16, 2022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between CF Principal Investments LLC, a Delaware limited liability company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SoundHound AI,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that certain letter agreement dated as of August 16, 2022 by and between the Investor and the Company (the “</w:t>
      </w:r>
      <w:r>
        <w:rPr>
          <w:rFonts w:ascii="Times New Roman" w:cs="Times New Roman" w:eastAsia="Times New Roman" w:hAnsi="Times New Roman"/>
          <w:sz w:val="17"/>
          <w:szCs w:val="17"/>
          <w:b w:val="1"/>
          <w:bCs w:val="1"/>
          <w:i w:val="1"/>
          <w:iCs w:val="1"/>
          <w:color w:val="auto"/>
        </w:rPr>
        <w:t>Original Letter Agreement</w:t>
      </w:r>
      <w:r>
        <w:rPr>
          <w:rFonts w:ascii="Times New Roman" w:cs="Times New Roman" w:eastAsia="Times New Roman" w:hAnsi="Times New Roman"/>
          <w:sz w:val="17"/>
          <w:szCs w:val="17"/>
          <w:color w:val="auto"/>
        </w:rPr>
        <w:t>”). Capitalized terms used in this letter agreement without definition have the meanings ascribed to them in the Purchase Agreement.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to the contrary set forth in the Purchase Agreement, each of the Investor and the Company hereby agree as follows:</w:t>
      </w:r>
    </w:p>
    <w:p>
      <w:pPr>
        <w:spacing w:after="0" w:line="220" w:lineRule="exact"/>
        <w:rPr>
          <w:sz w:val="20"/>
          <w:szCs w:val="20"/>
          <w:color w:val="auto"/>
        </w:rPr>
      </w:pPr>
    </w:p>
    <w:p>
      <w:pPr>
        <w:ind w:left="180" w:hanging="176"/>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Letter Agreement is null and void, and replaced in its entirety by this letter agreement.</w:t>
      </w:r>
    </w:p>
    <w:p>
      <w:pPr>
        <w:spacing w:after="0" w:line="220"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10.1(ii) of the Purchase Agreement shall be considered to read as follows:</w:t>
      </w:r>
    </w:p>
    <w:p>
      <w:pPr>
        <w:spacing w:after="0" w:line="220" w:lineRule="exact"/>
        <w:rPr>
          <w:sz w:val="20"/>
          <w:szCs w:val="20"/>
          <w:color w:val="auto"/>
        </w:rPr>
      </w:pPr>
    </w:p>
    <w:p>
      <w:pPr>
        <w:jc w:val="both"/>
        <w:ind w:left="620" w:right="620"/>
        <w:spacing w:after="0" w:line="267"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this Agreement, the Company shall issue to the Investor the Upfront Commitment Fee on the Commencement Date, by transfer of the Commitment Shares to an account designated by the Investor, and will provide Investor, not later than 4:00 P.M. New York City time on the Trading Date immediately prior to the Commencement Date, one or more book-entry statement(s) representing the Commitment Shares in the name of the Investor or its designee.</w:t>
      </w:r>
    </w:p>
    <w:p>
      <w:pPr>
        <w:spacing w:after="0" w:line="173" w:lineRule="exact"/>
        <w:rPr>
          <w:sz w:val="20"/>
          <w:szCs w:val="20"/>
          <w:color w:val="auto"/>
        </w:rPr>
      </w:pPr>
    </w:p>
    <w:p>
      <w:pPr>
        <w:jc w:val="both"/>
        <w:ind w:left="620" w:right="620"/>
        <w:spacing w:after="0" w:line="241" w:lineRule="auto"/>
        <w:rPr>
          <w:sz w:val="20"/>
          <w:szCs w:val="20"/>
          <w:color w:val="auto"/>
        </w:rPr>
      </w:pPr>
      <w:r>
        <w:rPr>
          <w:rFonts w:ascii="Times New Roman" w:cs="Times New Roman" w:eastAsia="Times New Roman" w:hAnsi="Times New Roman"/>
          <w:sz w:val="17"/>
          <w:szCs w:val="17"/>
          <w:color w:val="auto"/>
        </w:rPr>
        <w:t>If, on the 121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the Commencement Date (the “</w:t>
      </w:r>
      <w:r>
        <w:rPr>
          <w:rFonts w:ascii="Times New Roman" w:cs="Times New Roman" w:eastAsia="Times New Roman" w:hAnsi="Times New Roman"/>
          <w:sz w:val="17"/>
          <w:szCs w:val="17"/>
          <w:b w:val="1"/>
          <w:bCs w:val="1"/>
          <w:i w:val="1"/>
          <w:iCs w:val="1"/>
          <w:color w:val="auto"/>
        </w:rPr>
        <w:t>True -Up Settlement Date</w:t>
      </w:r>
      <w:r>
        <w:rPr>
          <w:rFonts w:ascii="Times New Roman" w:cs="Times New Roman" w:eastAsia="Times New Roman" w:hAnsi="Times New Roman"/>
          <w:sz w:val="17"/>
          <w:szCs w:val="17"/>
          <w:color w:val="auto"/>
        </w:rPr>
        <w:t>”), the proceeds of the resale of Commitment Shares by the Investor is less than $1,000,000, then the Company agrees to promptly, upon presentation of an invoice and reasonable supporting documentation, pay the Investor the difference between $1,000,000 and the net proceeds of the resale of the Commitment Shares received by the Investor (the “</w:t>
      </w:r>
      <w:r>
        <w:rPr>
          <w:rFonts w:ascii="Times New Roman" w:cs="Times New Roman" w:eastAsia="Times New Roman" w:hAnsi="Times New Roman"/>
          <w:sz w:val="17"/>
          <w:szCs w:val="17"/>
          <w:b w:val="1"/>
          <w:bCs w:val="1"/>
          <w:i w:val="1"/>
          <w:iCs w:val="1"/>
          <w:color w:val="auto"/>
        </w:rPr>
        <w:t>Make-Whole Fee</w:t>
      </w:r>
      <w:r>
        <w:rPr>
          <w:rFonts w:ascii="Times New Roman" w:cs="Times New Roman" w:eastAsia="Times New Roman" w:hAnsi="Times New Roman"/>
          <w:sz w:val="17"/>
          <w:szCs w:val="17"/>
          <w:color w:val="auto"/>
        </w:rPr>
        <w:t>”), provided in each case, that any Commitment Shares that are unsold by the Investor on the True-Up Settlement Date shall be presumed for such purposes to have been sold by the Investor at the closing price on the trading day immediately prior to the True-Up Settlement Date; and provided further that if following the Commencement, the Registration Statement is not effective for any reason, the True-Up Settlement Date shall be delayed by the number of days in which the Registration Statement is not available to facilitate resales by the Investor.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Any Make-Whole Fee payable to the Investor in accordance with this Section 10.1(ii) may, at the election of the Company, be paid in (i) cash or</w:t>
      </w:r>
    </w:p>
    <w:p>
      <w:pPr>
        <w:spacing w:after="0" w:line="31" w:lineRule="exact"/>
        <w:rPr>
          <w:sz w:val="20"/>
          <w:szCs w:val="20"/>
          <w:color w:val="auto"/>
        </w:rPr>
      </w:pPr>
    </w:p>
    <w:p>
      <w:pPr>
        <w:ind w:left="620" w:right="620" w:firstLine="8"/>
        <w:spacing w:after="0" w:line="270" w:lineRule="auto"/>
        <w:tabs>
          <w:tab w:leader="none" w:pos="884"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of Common Stock equal to such Make-Whole Fee divided by the closing price of the Common Stock on the Principal Market on the Trading Date immediately preceding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397510</wp:posOffset>
            </wp:positionV>
            <wp:extent cx="7137400" cy="165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263" w:name="page264"/>
    <w:bookmarkEnd w:id="263"/>
    <w:p>
      <w:pPr>
        <w:jc w:val="both"/>
        <w:ind w:firstLine="4"/>
        <w:spacing w:after="0" w:line="267" w:lineRule="auto"/>
        <w:tabs>
          <w:tab w:leader="none" w:pos="173"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notwithstanding Section 7.2(i) of the Purchase Agreement, the Upfront Commitment Fee shall not be payable in the event that (i) the Commencement does not occur due to the failure of the condition in Section 7.2(xx) of the Purchase Agreement or (ii) notwithstanding compliance with the provisions of the Registration Rights Agreement, dated as of August 16, 2022, between the Investor and the Company, the Registration Statement is not declared effective by the Commission within 180 days of the initial filing of the Registration Statement by the Company.</w:t>
      </w:r>
    </w:p>
    <w:p>
      <w:pPr>
        <w:spacing w:after="0" w:line="169"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either party has the right to terminate the Purchase Agreement in the event of either paragraph 3(i) or (ii) above.</w:t>
      </w:r>
    </w:p>
    <w:p>
      <w:pPr>
        <w:spacing w:after="0" w:line="220" w:lineRule="exact"/>
        <w:rPr>
          <w:rFonts w:ascii="Times New Roman" w:cs="Times New Roman" w:eastAsia="Times New Roman" w:hAnsi="Times New Roman"/>
          <w:sz w:val="17"/>
          <w:szCs w:val="17"/>
          <w:color w:val="auto"/>
        </w:rPr>
      </w:pPr>
    </w:p>
    <w:p>
      <w:pPr>
        <w:ind w:firstLine="4"/>
        <w:spacing w:after="0" w:line="293" w:lineRule="auto"/>
        <w:tabs>
          <w:tab w:leader="none" w:pos="186"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will be governed by and construed in accordance with the internal procedural and substantive laws of the State of New York, without giving effect to the choice of law provisions of such state that would cause the application of the laws of any other jurisdiction.</w:t>
      </w:r>
    </w:p>
    <w:p>
      <w:pPr>
        <w:spacing w:after="0" w:line="146" w:lineRule="exact"/>
        <w:rPr>
          <w:rFonts w:ascii="Times New Roman" w:cs="Times New Roman" w:eastAsia="Times New Roman" w:hAnsi="Times New Roman"/>
          <w:sz w:val="17"/>
          <w:szCs w:val="17"/>
          <w:color w:val="auto"/>
        </w:rPr>
      </w:pPr>
    </w:p>
    <w:p>
      <w:pPr>
        <w:jc w:val="both"/>
        <w:ind w:firstLine="4"/>
        <w:spacing w:after="0" w:line="264" w:lineRule="auto"/>
        <w:tabs>
          <w:tab w:leader="none" w:pos="173"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may be executed in two or more identical counterparts, all of which shall be considered one and the same agreement and will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will be considered due execution and will be binding upon the signatory thereto with the same force and effect as if the signature were an original signature.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Each of the Investor and the Company further agree that all other terms and conditions of the Purchase Agreement remain in full force and effect and the Purchase Agreement will be read and construed as if the terms of this letter agreement were included therein by way of addition or substitution, as the case may be. In the event of a conflict between the terms and provisions of the Purchase Agreement and this letter agreement, the provisions of this letter agreement will govern. To evidence your agreement with the foregoing, please sign and return a copy of this letter agreement to our attention as provided in the Purchase Agreement.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12700</wp:posOffset>
            </wp:positionV>
            <wp:extent cx="7137400"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b w:val="1"/>
          <w:bCs w:val="1"/>
          <w:color w:val="auto"/>
        </w:rPr>
        <w:t>CF PRINCIPAL INVESTMENTS LLC</w:t>
      </w:r>
    </w:p>
    <w:p>
      <w:pPr>
        <w:spacing w:after="0" w:line="2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Steven Bisgay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49525" cy="165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2549525" cy="165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/s/ Steven Bisgay</w:t>
      </w:r>
    </w:p>
    <w:p>
      <w:pPr>
        <w:spacing w:after="0" w:line="3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tab/>
        <w:t>Executive Managing Director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ACCEPTED as of the date first-above written: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2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19685</wp:posOffset>
            </wp:positionV>
            <wp:extent cx="254952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2549525" cy="1651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Keyvan Mohajer</w:t>
      </w:r>
    </w:p>
    <w:p>
      <w:pPr>
        <w:spacing w:after="0" w:line="3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color w:val="auto"/>
        </w:rPr>
        <w:t>Title:</w:t>
        <w:tab/>
        <w:t>CEO</w:t>
      </w:r>
    </w:p>
    <w:p>
      <w:pPr>
        <w:spacing w:after="0" w:line="200" w:lineRule="exact"/>
        <w:rPr>
          <w:sz w:val="20"/>
          <w:szCs w:val="20"/>
          <w:color w:val="auto"/>
        </w:rPr>
      </w:pPr>
    </w:p>
    <w:p>
      <w:pPr>
        <w:spacing w:after="0" w:line="210"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137400"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37400" cy="16510"/>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hereby consent to the inclusion in this Registration Statement of SoundHound AI, Inc. (formerly known as Archimedes Tech SPAC Partners Co.) on Form S-1/A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22, 2022</w:t>
      </w:r>
    </w:p>
    <w:p>
      <w:pPr>
        <w:sectPr>
          <w:pgSz w:w="11900" w:h="16838" w:orient="portrait"/>
          <w:cols w:equalWidth="0" w:num="1">
            <w:col w:w="11240"/>
          </w:cols>
          <w:pgMar w:left="320" w:top="119" w:right="3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5927090</wp:posOffset>
            </wp:positionH>
            <wp:positionV relativeFrom="paragraph">
              <wp:posOffset>146050</wp:posOffset>
            </wp:positionV>
            <wp:extent cx="1188085" cy="3467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1188085" cy="34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consent to the use in this Registration Statement on Amendment No. 2 to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1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8"/>
          <w:szCs w:val="28"/>
          <w:color w:val="auto"/>
          <w:vertAlign w:val="superscript"/>
        </w:rPr>
        <w:t>LLP</w:t>
      </w:r>
    </w:p>
    <w:p>
      <w:pPr>
        <w:ind w:left="674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3320415</wp:posOffset>
            </wp:positionV>
            <wp:extent cx="791845" cy="4705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91845" cy="470535"/>
                    </a:xfrm>
                    <a:prstGeom prst="rect">
                      <a:avLst/>
                    </a:prstGeom>
                    <a:noFill/>
                  </pic:spPr>
                </pic:pic>
              </a:graphicData>
            </a:graphic>
          </wp:anchor>
        </w:drawing>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1)"/>
      <w:numFmt w:val="lowerRoman"/>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lowerRoman"/>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1)"/>
      <w:numFmt w:val="decimal"/>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1)"/>
      <w:numFmt w:val="decimal"/>
      <w:start w:val="3"/>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1)"/>
      <w:numFmt w:val="decimal"/>
      <w:start w:val="2"/>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1)"/>
      <w:numFmt w:val="lowerRoman"/>
      <w:start w:val="1"/>
    </w:lvl>
  </w:abstractNum>
  <w:abstractNum w:abstractNumId="39">
    <w:nsid w:val="7DE67713"/>
    <w:multiLevelType w:val="hybridMultilevel"/>
    <w:lvl w:ilvl="0">
      <w:lvlJc w:val="left"/>
      <w:lvlText w:val="%1)"/>
      <w:numFmt w:val="decimal"/>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1)"/>
      <w:numFmt w:val="decimal"/>
      <w:start w:val="1"/>
    </w:lvl>
  </w:abstractNum>
  <w:abstractNum w:abstractNumId="42">
    <w:nsid w:val="14FCE74E"/>
    <w:multiLevelType w:val="hybridMultilevel"/>
    <w:lvl w:ilvl="0">
      <w:lvlJc w:val="left"/>
      <w:lvlText w:val="(%1)"/>
      <w:numFmt w:val="lowerRoman"/>
      <w:start w:val="1"/>
    </w:lvl>
  </w:abstractNum>
  <w:abstractNum w:abstractNumId="43">
    <w:nsid w:val="6A3DD3E8"/>
    <w:multiLevelType w:val="hybridMultilevel"/>
    <w:lvl w:ilvl="0">
      <w:lvlJc w:val="left"/>
      <w:lvlText w:val="(%1)"/>
      <w:numFmt w:val="lowerLetter"/>
      <w:start w:val="1"/>
    </w:lvl>
  </w:abstractNum>
  <w:abstractNum w:abstractNumId="44">
    <w:nsid w:val="71C91298"/>
    <w:multiLevelType w:val="hybridMultilevel"/>
    <w:lvl w:ilvl="0">
      <w:lvlJc w:val="left"/>
      <w:lvlText w:val="(%1)"/>
      <w:numFmt w:val="decimal"/>
      <w:start w:val="1"/>
    </w:lvl>
  </w:abstractNum>
  <w:abstractNum w:abstractNumId="45">
    <w:nsid w:val="9DAF632"/>
    <w:multiLevelType w:val="hybridMultilevel"/>
    <w:lvl w:ilvl="0">
      <w:lvlJc w:val="left"/>
      <w:lvlText w:val="(%1)"/>
      <w:numFmt w:val="upperLetter"/>
      <w:start w:val="2"/>
    </w:lvl>
  </w:abstractNum>
  <w:abstractNum w:abstractNumId="46">
    <w:nsid w:val="53299938"/>
    <w:multiLevelType w:val="hybridMultilevel"/>
    <w:lvl w:ilvl="0">
      <w:lvlJc w:val="left"/>
      <w:lvlText w:val="(%1)"/>
      <w:numFmt w:val="upperLetter"/>
      <w:start w:val="4"/>
    </w:lvl>
  </w:abstractNum>
  <w:abstractNum w:abstractNumId="47">
    <w:nsid w:val="1FBFE8E0"/>
    <w:multiLevelType w:val="hybridMultilevel"/>
    <w:lvl w:ilvl="0">
      <w:lvlJc w:val="left"/>
      <w:lvlText w:val="%1)"/>
      <w:numFmt w:val="lowerLetter"/>
      <w:start w:val="1"/>
    </w:lvl>
  </w:abstractNum>
  <w:abstractNum w:abstractNumId="48">
    <w:nsid w:val="5092CA79"/>
    <w:multiLevelType w:val="hybridMultilevel"/>
    <w:lvl w:ilvl="0">
      <w:lvlJc w:val="left"/>
      <w:lvlText w:val="%1)"/>
      <w:numFmt w:val="lowerLetter"/>
      <w:start w:val="2"/>
    </w:lvl>
  </w:abstractNum>
  <w:abstractNum w:abstractNumId="49">
    <w:nsid w:val="1D545C4D"/>
    <w:multiLevelType w:val="hybridMultilevel"/>
    <w:lvl w:ilvl="0">
      <w:lvlJc w:val="left"/>
      <w:lvlText w:val="%1)"/>
      <w:numFmt w:val="lowerLetter"/>
      <w:start w:val="3"/>
    </w:lvl>
  </w:abstractNum>
  <w:abstractNum w:abstractNumId="50">
    <w:nsid w:val="59ADEA3D"/>
    <w:multiLevelType w:val="hybridMultilevel"/>
    <w:lvl w:ilvl="0">
      <w:lvlJc w:val="left"/>
      <w:lvlText w:val="(%1)"/>
      <w:numFmt w:val="lowerLetter"/>
      <w:start w:val="2"/>
    </w:lvl>
  </w:abstractNum>
  <w:abstractNum w:abstractNumId="51">
    <w:nsid w:val="288F1A34"/>
    <w:multiLevelType w:val="hybridMultilevel"/>
    <w:lvl w:ilvl="0">
      <w:lvlJc w:val="left"/>
      <w:lvlText w:val="(%1)"/>
      <w:numFmt w:val="lowerLetter"/>
      <w:start w:val="1"/>
    </w:lvl>
  </w:abstractNum>
  <w:abstractNum w:abstractNumId="52">
    <w:nsid w:val="2A155DBC"/>
    <w:multiLevelType w:val="hybridMultilevel"/>
    <w:lvl w:ilvl="0">
      <w:lvlJc w:val="left"/>
      <w:lvlText w:val="(%1)"/>
      <w:numFmt w:val="lowerLetter"/>
      <w:start w:val="3"/>
    </w:lvl>
  </w:abstractNum>
  <w:abstractNum w:abstractNumId="53">
    <w:nsid w:val="1D9F6E5F"/>
    <w:multiLevelType w:val="hybridMultilevel"/>
    <w:lvl w:ilvl="0">
      <w:lvlJc w:val="left"/>
      <w:lvlText w:val="(%1)"/>
      <w:numFmt w:val="lowerLetter"/>
      <w:start w:val="6"/>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
      <w:numFmt w:val="bullet"/>
      <w:start w:val="1"/>
    </w:lvl>
  </w:abstractNum>
  <w:abstractNum w:abstractNumId="56">
    <w:nsid w:val="1CA0C5FA"/>
    <w:multiLevelType w:val="hybridMultilevel"/>
    <w:lvl w:ilvl="0">
      <w:lvlJc w:val="left"/>
      <w:lvlText w:val="•"/>
      <w:numFmt w:val="bullet"/>
      <w:start w:val="1"/>
    </w:lvl>
  </w:abstractNum>
  <w:abstractNum w:abstractNumId="57">
    <w:nsid w:val="53584BCB"/>
    <w:multiLevelType w:val="hybridMultilevel"/>
    <w:lvl w:ilvl="0">
      <w:lvlJc w:val="left"/>
      <w:lvlText w:val="•"/>
      <w:numFmt w:val="bullet"/>
      <w:start w:val="1"/>
    </w:lvl>
  </w:abstractNum>
  <w:abstractNum w:abstractNumId="58">
    <w:nsid w:val="415E286C"/>
    <w:multiLevelType w:val="hybridMultilevel"/>
    <w:lvl w:ilvl="0">
      <w:lvlJc w:val="left"/>
      <w:lvlText w:val="(%1)"/>
      <w:numFmt w:val="lowerLetter"/>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abstractNum>
  <w:abstractNum w:abstractNumId="61">
    <w:nsid w:val="45E6D486"/>
    <w:multiLevelType w:val="hybridMultilevel"/>
    <w:lvl w:ilvl="0">
      <w:lvlJc w:val="left"/>
      <w:lvlText w:val="•"/>
      <w:numFmt w:val="bullet"/>
      <w:start w:val="1"/>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1)"/>
      <w:numFmt w:val="decimal"/>
      <w:start w:val="1"/>
    </w:lvl>
  </w:abstractNum>
  <w:abstractNum w:abstractNumId="64">
    <w:nsid w:val="3C5991AA"/>
    <w:multiLevelType w:val="hybridMultilevel"/>
    <w:lvl w:ilvl="0">
      <w:lvlJc w:val="left"/>
      <w:lvlText w:val="(%1)"/>
      <w:numFmt w:val="decimal"/>
      <w:start w:val="1"/>
    </w:lvl>
  </w:abstractNum>
  <w:abstractNum w:abstractNumId="65">
    <w:nsid w:val="4BD8591A"/>
    <w:multiLevelType w:val="hybridMultilevel"/>
    <w:lvl w:ilvl="0">
      <w:lvlJc w:val="left"/>
      <w:lvlText w:val="•"/>
      <w:numFmt w:val="bullet"/>
      <w:start w:val="1"/>
    </w:lvl>
  </w:abstractNum>
  <w:abstractNum w:abstractNumId="66">
    <w:nsid w:val="78DF6A55"/>
    <w:multiLevelType w:val="hybridMultilevel"/>
    <w:lvl w:ilvl="0">
      <w:lvlJc w:val="left"/>
      <w:lvlText w:val="(%1)"/>
      <w:numFmt w:val="decimal"/>
      <w:start w:val="9"/>
    </w:lvl>
  </w:abstractNum>
  <w:abstractNum w:abstractNumId="67">
    <w:nsid w:val="39B7AAA2"/>
    <w:multiLevelType w:val="hybridMultilevel"/>
    <w:lvl w:ilvl="0">
      <w:lvlJc w:val="left"/>
      <w:lvlText w:val="(%1)"/>
      <w:numFmt w:val="lowerRoman"/>
      <w:start w:val="1"/>
    </w:lvl>
  </w:abstractNum>
  <w:abstractNum w:abstractNumId="68">
    <w:nsid w:val="2B0D8DBE"/>
    <w:multiLevelType w:val="hybridMultilevel"/>
    <w:lvl w:ilvl="0">
      <w:lvlJc w:val="left"/>
      <w:lvlText w:val="(%1)"/>
      <w:numFmt w:val="lowerRoman"/>
      <w:start w:val="4"/>
    </w:lvl>
  </w:abstractNum>
  <w:abstractNum w:abstractNumId="69">
    <w:nsid w:val="6C80EC70"/>
    <w:multiLevelType w:val="hybridMultilevel"/>
    <w:lvl w:ilvl="0">
      <w:lvlJc w:val="left"/>
      <w:lvlText w:val="•"/>
      <w:numFmt w:val="bullet"/>
      <w:start w:val="1"/>
    </w:lvl>
  </w:abstractNum>
  <w:abstractNum w:abstractNumId="70">
    <w:nsid w:val="379E21B5"/>
    <w:multiLevelType w:val="hybridMultilevel"/>
    <w:lvl w:ilvl="0">
      <w:lvlJc w:val="left"/>
      <w:lvlText w:val="•"/>
      <w:numFmt w:val="bullet"/>
      <w:start w:val="1"/>
    </w:lvl>
  </w:abstractNum>
  <w:abstractNum w:abstractNumId="71">
    <w:nsid w:val="69E373"/>
    <w:multiLevelType w:val="hybridMultilevel"/>
    <w:lvl w:ilvl="0">
      <w:lvlJc w:val="left"/>
      <w:lvlText w:val="•"/>
      <w:numFmt w:val="bullet"/>
      <w:start w:val="1"/>
    </w:lvl>
  </w:abstractNum>
  <w:abstractNum w:abstractNumId="72">
    <w:nsid w:val="2C27173B"/>
    <w:multiLevelType w:val="hybridMultilevel"/>
    <w:lvl w:ilvl="0">
      <w:lvlJc w:val="left"/>
      <w:lvlText w:val="•"/>
      <w:numFmt w:val="bullet"/>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
      <w:numFmt w:val="bullet"/>
      <w:start w:val="1"/>
    </w:lvl>
  </w:abstractNum>
  <w:abstractNum w:abstractNumId="75">
    <w:nsid w:val="1DF029D3"/>
    <w:multiLevelType w:val="hybridMultilevel"/>
    <w:lvl w:ilvl="0">
      <w:lvlJc w:val="left"/>
      <w:lvlText w:val="(%1)"/>
      <w:numFmt w:val="decimal"/>
      <w:start w:val="636"/>
    </w:lvl>
  </w:abstractNum>
  <w:abstractNum w:abstractNumId="76">
    <w:nsid w:val="5675FF36"/>
    <w:multiLevelType w:val="hybridMultilevel"/>
    <w:lvl w:ilvl="0">
      <w:lvlJc w:val="left"/>
      <w:lvlText w:val="%1."/>
      <w:numFmt w:val="decimal"/>
      <w:start w:val="1"/>
    </w:lvl>
  </w:abstractNum>
  <w:abstractNum w:abstractNumId="77">
    <w:nsid w:val="3DD15094"/>
    <w:multiLevelType w:val="hybridMultilevel"/>
    <w:lvl w:ilvl="0">
      <w:lvlJc w:val="left"/>
      <w:lvlText w:val="%1."/>
      <w:numFmt w:val="decimal"/>
      <w:start w:val="1"/>
    </w:lvl>
  </w:abstractNum>
  <w:abstractNum w:abstractNumId="78">
    <w:nsid w:val="3DB012B3"/>
    <w:multiLevelType w:val="hybridMultilevel"/>
    <w:lvl w:ilvl="0">
      <w:lvlJc w:val="left"/>
      <w:lvlText w:val="%1."/>
      <w:numFmt w:val="decimal"/>
      <w:start w:val="2"/>
    </w:lvl>
  </w:abstractNum>
  <w:abstractNum w:abstractNumId="79">
    <w:nsid w:val="2708C9AF"/>
    <w:multiLevelType w:val="hybridMultilevel"/>
    <w:lvl w:ilvl="0">
      <w:lvlJc w:val="left"/>
      <w:lvlText w:val="%1."/>
      <w:numFmt w:val="decimal"/>
      <w:start w:val="2"/>
    </w:lvl>
  </w:abstractNum>
  <w:abstractNum w:abstractNumId="80">
    <w:nsid w:val="5B25ACE2"/>
    <w:multiLevelType w:val="hybridMultilevel"/>
    <w:lvl w:ilvl="0">
      <w:lvlJc w:val="left"/>
      <w:lvlText w:val="%1."/>
      <w:numFmt w:val="decimal"/>
      <w:start w:val="2"/>
    </w:lvl>
  </w:abstractNum>
  <w:abstractNum w:abstractNumId="81">
    <w:nsid w:val="175DFCF0"/>
    <w:multiLevelType w:val="hybridMultilevel"/>
    <w:lvl w:ilvl="0">
      <w:lvlJc w:val="left"/>
      <w:lvlText w:val="%1."/>
      <w:numFmt w:val="decimal"/>
      <w:start w:val="2"/>
    </w:lvl>
  </w:abstractNum>
  <w:abstractNum w:abstractNumId="82">
    <w:nsid w:val="4F97E3E4"/>
    <w:multiLevelType w:val="hybridMultilevel"/>
    <w:lvl w:ilvl="0">
      <w:lvlJc w:val="left"/>
      <w:lvlText w:val="(%1)"/>
      <w:numFmt w:val="lowerRoman"/>
      <w:start w:val="1"/>
    </w:lvl>
  </w:abstractNum>
  <w:abstractNum w:abstractNumId="83">
    <w:nsid w:val="53B0A9E"/>
    <w:multiLevelType w:val="hybridMultilevel"/>
    <w:lvl w:ilvl="0">
      <w:lvlJc w:val="left"/>
      <w:lvlText w:val="%1."/>
      <w:numFmt w:val="decimal"/>
      <w:start w:val="2"/>
    </w:lvl>
  </w:abstractNum>
  <w:abstractNum w:abstractNumId="84">
    <w:nsid w:val="34FD6B4F"/>
    <w:multiLevelType w:val="hybridMultilevel"/>
    <w:lvl w:ilvl="0">
      <w:lvlJc w:val="left"/>
      <w:lvlText w:val="%1."/>
      <w:numFmt w:val="decimal"/>
      <w:start w:val="2"/>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1."/>
      <w:numFmt w:val="decimal"/>
      <w:start w:val="2"/>
    </w:lvl>
  </w:abstractNum>
  <w:abstractNum w:abstractNumId="87">
    <w:nsid w:val="519E3149"/>
    <w:multiLevelType w:val="hybridMultilevel"/>
    <w:lvl w:ilvl="0">
      <w:lvlJc w:val="left"/>
      <w:lvlText w:val="(%1)"/>
      <w:numFmt w:val="lowerRoman"/>
      <w:start w:val="3"/>
    </w:lvl>
  </w:abstractNum>
  <w:abstractNum w:abstractNumId="88">
    <w:nsid w:val="2C6E4AFD"/>
    <w:multiLevelType w:val="hybridMultilevel"/>
    <w:lvl w:ilvl="0">
      <w:lvlJc w:val="left"/>
      <w:lvlText w:val="%1."/>
      <w:numFmt w:val="decimal"/>
      <w:start w:val="2"/>
    </w:lvl>
  </w:abstractNum>
  <w:abstractNum w:abstractNumId="89">
    <w:nsid w:val="17A1B582"/>
    <w:multiLevelType w:val="hybridMultilevel"/>
    <w:lvl w:ilvl="0">
      <w:lvlJc w:val="left"/>
      <w:lvlText w:val="•"/>
      <w:numFmt w:val="bullet"/>
      <w:start w:val="1"/>
    </w:lvl>
  </w:abstractNum>
  <w:abstractNum w:abstractNumId="90">
    <w:nsid w:val="4DF72E4E"/>
    <w:multiLevelType w:val="hybridMultilevel"/>
    <w:lvl w:ilvl="0">
      <w:lvlJc w:val="left"/>
      <w:lvlText w:val="%1."/>
      <w:numFmt w:val="decimal"/>
      <w:start w:val="2"/>
    </w:lvl>
  </w:abstractNum>
  <w:abstractNum w:abstractNumId="91">
    <w:nsid w:val="5046B5A9"/>
    <w:multiLevelType w:val="hybridMultilevel"/>
    <w:lvl w:ilvl="0">
      <w:lvlJc w:val="left"/>
      <w:lvlText w:val="%1."/>
      <w:numFmt w:val="decimal"/>
      <w:start w:val="3"/>
    </w:lvl>
  </w:abstractNum>
  <w:abstractNum w:abstractNumId="92">
    <w:nsid w:val="5D888A08"/>
    <w:multiLevelType w:val="hybridMultilevel"/>
    <w:lvl w:ilvl="0">
      <w:lvlJc w:val="left"/>
      <w:lvlText w:val="%1."/>
      <w:numFmt w:val="decimal"/>
      <w:start w:val="3"/>
    </w:lvl>
  </w:abstractNum>
  <w:abstractNum w:abstractNumId="93">
    <w:nsid w:val="2A082C70"/>
    <w:multiLevelType w:val="hybridMultilevel"/>
    <w:lvl w:ilvl="0">
      <w:lvlJc w:val="left"/>
      <w:lvlText w:val="•"/>
      <w:numFmt w:val="bullet"/>
      <w:start w:val="1"/>
    </w:lvl>
  </w:abstractNum>
  <w:abstractNum w:abstractNumId="94">
    <w:nsid w:val="5EC6AFD4"/>
    <w:multiLevelType w:val="hybridMultilevel"/>
    <w:lvl w:ilvl="0">
      <w:lvlJc w:val="left"/>
      <w:lvlText w:val="%1."/>
      <w:numFmt w:val="decimal"/>
      <w:start w:val="3"/>
    </w:lvl>
    <w:lvl w:ilvl="1">
      <w:lvlJc w:val="left"/>
      <w:lvlText w:val="•"/>
      <w:numFmt w:val="bullet"/>
      <w:start w:val="1"/>
    </w:lvl>
  </w:abstractNum>
  <w:abstractNum w:abstractNumId="95">
    <w:nsid w:val="19E21BB2"/>
    <w:multiLevelType w:val="hybridMultilevel"/>
    <w:lvl w:ilvl="0">
      <w:lvlJc w:val="left"/>
      <w:lvlText w:val="%1."/>
      <w:numFmt w:val="decimal"/>
      <w:start w:val="3"/>
    </w:lvl>
  </w:abstractNum>
  <w:abstractNum w:abstractNumId="96">
    <w:nsid w:val="75E0858A"/>
    <w:multiLevelType w:val="hybridMultilevel"/>
    <w:lvl w:ilvl="0">
      <w:lvlJc w:val="left"/>
      <w:lvlText w:val="%1."/>
      <w:numFmt w:val="decimal"/>
      <w:start w:val="5"/>
    </w:lvl>
  </w:abstractNum>
  <w:abstractNum w:abstractNumId="97">
    <w:nsid w:val="57A61A29"/>
    <w:multiLevelType w:val="hybridMultilevel"/>
    <w:lvl w:ilvl="0">
      <w:lvlJc w:val="left"/>
      <w:lvlText w:val="%1."/>
      <w:numFmt w:val="decimal"/>
      <w:start w:val="6"/>
    </w:lvl>
  </w:abstractNum>
  <w:abstractNum w:abstractNumId="98">
    <w:nsid w:val="5399C654"/>
    <w:multiLevelType w:val="hybridMultilevel"/>
    <w:lvl w:ilvl="0">
      <w:lvlJc w:val="left"/>
      <w:lvlText w:val="%1."/>
      <w:numFmt w:val="decimal"/>
      <w:start w:val="6"/>
    </w:lvl>
  </w:abstractNum>
  <w:abstractNum w:abstractNumId="99">
    <w:nsid w:val="20EE1348"/>
    <w:multiLevelType w:val="hybridMultilevel"/>
    <w:lvl w:ilvl="0">
      <w:lvlJc w:val="left"/>
      <w:lvlText w:val="%1."/>
      <w:numFmt w:val="decimal"/>
      <w:start w:val="7"/>
    </w:lvl>
  </w:abstractNum>
  <w:abstractNum w:abstractNumId="100">
    <w:nsid w:val="4427069A"/>
    <w:multiLevelType w:val="hybridMultilevel"/>
    <w:lvl w:ilvl="0">
      <w:lvlJc w:val="left"/>
      <w:lvlText w:val="%1."/>
      <w:numFmt w:val="decimal"/>
      <w:start w:val="7"/>
    </w:lvl>
  </w:abstractNum>
  <w:abstractNum w:abstractNumId="101">
    <w:nsid w:val="B37E80A"/>
    <w:multiLevelType w:val="hybridMultilevel"/>
    <w:lvl w:ilvl="0">
      <w:lvlJc w:val="left"/>
      <w:lvlText w:val="%1."/>
      <w:numFmt w:val="decimal"/>
      <w:start w:val="8"/>
    </w:lvl>
  </w:abstractNum>
  <w:abstractNum w:abstractNumId="102">
    <w:nsid w:val="2157F6BC"/>
    <w:multiLevelType w:val="hybridMultilevel"/>
    <w:lvl w:ilvl="0">
      <w:lvlJc w:val="left"/>
      <w:lvlText w:val="\emdash "/>
      <w:numFmt w:val="bullet"/>
      <w:start w:val="1"/>
    </w:lvl>
  </w:abstractNum>
  <w:abstractNum w:abstractNumId="103">
    <w:nsid w:val="704E1DD5"/>
    <w:multiLevelType w:val="hybridMultilevel"/>
    <w:lvl w:ilvl="0">
      <w:lvlJc w:val="left"/>
      <w:lvlText w:val="%1."/>
      <w:numFmt w:val="decimal"/>
      <w:start w:val="8"/>
    </w:lvl>
  </w:abstractNum>
  <w:abstractNum w:abstractNumId="104">
    <w:nsid w:val="57D2F10E"/>
    <w:multiLevelType w:val="hybridMultilevel"/>
    <w:lvl w:ilvl="0">
      <w:lvlJc w:val="left"/>
      <w:lvlText w:val="%1."/>
      <w:numFmt w:val="decimal"/>
      <w:start w:val="8"/>
    </w:lvl>
  </w:abstractNum>
  <w:abstractNum w:abstractNumId="105">
    <w:nsid w:val="BFFAE18"/>
    <w:multiLevelType w:val="hybridMultilevel"/>
    <w:lvl w:ilvl="0">
      <w:lvlJc w:val="left"/>
      <w:lvlText w:val="%1."/>
      <w:numFmt w:val="decimal"/>
      <w:start w:val="8"/>
    </w:lvl>
  </w:abstractNum>
  <w:abstractNum w:abstractNumId="106">
    <w:nsid w:val="E3E47A8"/>
    <w:multiLevelType w:val="hybridMultilevel"/>
    <w:lvl w:ilvl="0">
      <w:lvlJc w:val="left"/>
      <w:lvlText w:val="%1."/>
      <w:numFmt w:val="decimal"/>
      <w:start w:val="9"/>
    </w:lvl>
  </w:abstractNum>
  <w:abstractNum w:abstractNumId="107">
    <w:nsid w:val="2E48F044"/>
    <w:multiLevelType w:val="hybridMultilevel"/>
    <w:lvl w:ilvl="0">
      <w:lvlJc w:val="left"/>
      <w:lvlText w:val="%1."/>
      <w:numFmt w:val="decimal"/>
      <w:start w:val="9"/>
    </w:lvl>
  </w:abstractNum>
  <w:abstractNum w:abstractNumId="108">
    <w:nsid w:val="49D0FEAC"/>
    <w:multiLevelType w:val="hybridMultilevel"/>
    <w:lvl w:ilvl="0">
      <w:lvlJc w:val="left"/>
      <w:lvlText w:val="%1."/>
      <w:numFmt w:val="decimal"/>
      <w:start w:val="9"/>
    </w:lvl>
  </w:abstractNum>
  <w:abstractNum w:abstractNumId="109">
    <w:nsid w:val="4BEE5A5B"/>
    <w:multiLevelType w:val="hybridMultilevel"/>
    <w:lvl w:ilvl="0">
      <w:lvlJc w:val="left"/>
      <w:lvlText w:val="%1."/>
      <w:numFmt w:val="decimal"/>
      <w:start w:val="9"/>
    </w:lvl>
  </w:abstractNum>
  <w:abstractNum w:abstractNumId="110">
    <w:nsid w:val="5551B9F3"/>
    <w:multiLevelType w:val="hybridMultilevel"/>
    <w:lvl w:ilvl="0">
      <w:lvlJc w:val="left"/>
      <w:lvlText w:val="(%1)"/>
      <w:numFmt w:val="lowerRoman"/>
      <w:start w:val="2"/>
    </w:lvl>
  </w:abstractNum>
  <w:abstractNum w:abstractNumId="111">
    <w:nsid w:val="24F6AB8E"/>
    <w:multiLevelType w:val="hybridMultilevel"/>
    <w:lvl w:ilvl="0">
      <w:lvlJc w:val="left"/>
      <w:lvlText w:val="(%1)"/>
      <w:numFmt w:val="lowerRoman"/>
      <w:start w:val="1"/>
    </w:lvl>
  </w:abstractNum>
  <w:abstractNum w:abstractNumId="112">
    <w:nsid w:val="634C574C"/>
    <w:multiLevelType w:val="hybridMultilevel"/>
    <w:lvl w:ilvl="0">
      <w:lvlJc w:val="left"/>
      <w:lvlText w:val="(%1)"/>
      <w:numFmt w:val="lowerRoman"/>
      <w:start w:val="2"/>
    </w:lvl>
  </w:abstractNum>
  <w:abstractNum w:abstractNumId="113">
    <w:nsid w:val="24E99DD7"/>
    <w:multiLevelType w:val="hybridMultilevel"/>
    <w:lvl w:ilvl="0">
      <w:lvlJc w:val="left"/>
      <w:lvlText w:val="(%1)"/>
      <w:numFmt w:val="lowerRoman"/>
      <w:start w:val="2"/>
    </w:lvl>
  </w:abstractNum>
  <w:abstractNum w:abstractNumId="114">
    <w:nsid w:val="2A31B62D"/>
    <w:multiLevelType w:val="hybridMultilevel"/>
    <w:lvl w:ilvl="0">
      <w:lvlJc w:val="left"/>
      <w:lvlText w:val="%1."/>
      <w:numFmt w:val="decimal"/>
      <w:start w:val="1"/>
    </w:lvl>
  </w:abstractNum>
  <w:abstractNum w:abstractNumId="115">
    <w:nsid w:val="1849C29B"/>
    <w:multiLevelType w:val="hybridMultilevel"/>
    <w:lvl w:ilvl="0">
      <w:lvlJc w:val="left"/>
      <w:lvlText w:val="•"/>
      <w:numFmt w:val="bullet"/>
      <w:start w:val="1"/>
    </w:lvl>
  </w:abstractNum>
  <w:abstractNum w:abstractNumId="116">
    <w:nsid w:val="7DFF9D09"/>
    <w:multiLevelType w:val="hybridMultilevel"/>
    <w:lvl w:ilvl="0">
      <w:lvlJc w:val="left"/>
      <w:lvlText w:val="%1."/>
      <w:numFmt w:val="decimal"/>
      <w:start w:val="1"/>
    </w:lvl>
  </w:abstractNum>
  <w:abstractNum w:abstractNumId="117">
    <w:nsid w:val="754342"/>
    <w:multiLevelType w:val="hybridMultilevel"/>
    <w:lvl w:ilvl="0">
      <w:lvlJc w:val="left"/>
      <w:lvlText w:val="%1."/>
      <w:numFmt w:val="decimal"/>
      <w:start w:val="1"/>
    </w:lvl>
  </w:abstractNum>
  <w:abstractNum w:abstractNumId="118">
    <w:nsid w:val="69E7F3E5"/>
    <w:multiLevelType w:val="hybridMultilevel"/>
    <w:lvl w:ilvl="0">
      <w:lvlJc w:val="left"/>
      <w:lvlText w:val="%1."/>
      <w:numFmt w:val="decimal"/>
      <w:start w:val="2"/>
    </w:lvl>
  </w:abstractNum>
  <w:abstractNum w:abstractNumId="119">
    <w:nsid w:val="2A6DE806"/>
    <w:multiLevelType w:val="hybridMultilevel"/>
    <w:lvl w:ilvl="0">
      <w:lvlJc w:val="left"/>
      <w:lvlText w:val="%1."/>
      <w:numFmt w:val="decimal"/>
      <w:start w:val="2"/>
    </w:lvl>
  </w:abstractNum>
  <w:abstractNum w:abstractNumId="120">
    <w:nsid w:val="1816F8C4"/>
    <w:multiLevelType w:val="hybridMultilevel"/>
    <w:lvl w:ilvl="0">
      <w:lvlJc w:val="left"/>
      <w:lvlText w:val="%1."/>
      <w:numFmt w:val="decimal"/>
      <w:start w:val="2"/>
    </w:lvl>
  </w:abstractNum>
  <w:abstractNum w:abstractNumId="121">
    <w:nsid w:val="37DF2233"/>
    <w:multiLevelType w:val="hybridMultilevel"/>
    <w:lvl w:ilvl="0">
      <w:lvlJc w:val="left"/>
      <w:lvlText w:val="(%1)"/>
      <w:numFmt w:val="lowerRoman"/>
      <w:start w:val="1"/>
    </w:lvl>
  </w:abstractNum>
  <w:abstractNum w:abstractNumId="122">
    <w:nsid w:val="7AB49DAF"/>
    <w:multiLevelType w:val="hybridMultilevel"/>
    <w:lvl w:ilvl="0">
      <w:lvlJc w:val="left"/>
      <w:lvlText w:val="%1."/>
      <w:numFmt w:val="decimal"/>
      <w:start w:val="2"/>
    </w:lvl>
    <w:lvl w:ilvl="1">
      <w:lvlJc w:val="left"/>
      <w:lvlText w:val="(%2)"/>
      <w:numFmt w:val="lowerRoman"/>
      <w:start w:val="4"/>
    </w:lvl>
  </w:abstractNum>
  <w:abstractNum w:abstractNumId="123">
    <w:nsid w:val="759F82CD"/>
    <w:multiLevelType w:val="hybridMultilevel"/>
    <w:lvl w:ilvl="0">
      <w:lvlJc w:val="left"/>
      <w:lvlText w:val="%1."/>
      <w:numFmt w:val="decimal"/>
      <w:start w:val="2"/>
    </w:lvl>
  </w:abstractNum>
  <w:abstractNum w:abstractNumId="124">
    <w:nsid w:val="61E74EA3"/>
    <w:multiLevelType w:val="hybridMultilevel"/>
    <w:lvl w:ilvl="0">
      <w:lvlJc w:val="left"/>
      <w:lvlText w:val="•"/>
      <w:numFmt w:val="bullet"/>
      <w:start w:val="1"/>
    </w:lvl>
  </w:abstractNum>
  <w:abstractNum w:abstractNumId="125">
    <w:nsid w:val="597B4D84"/>
    <w:multiLevelType w:val="hybridMultilevel"/>
    <w:lvl w:ilvl="0">
      <w:lvlJc w:val="left"/>
      <w:lvlText w:val="%1."/>
      <w:numFmt w:val="decimal"/>
      <w:start w:val="2"/>
    </w:lvl>
  </w:abstractNum>
  <w:abstractNum w:abstractNumId="126">
    <w:nsid w:val="F819E7F"/>
    <w:multiLevelType w:val="hybridMultilevel"/>
    <w:lvl w:ilvl="0">
      <w:lvlJc w:val="left"/>
      <w:lvlText w:val="%1."/>
      <w:numFmt w:val="decimal"/>
      <w:start w:val="2"/>
    </w:lvl>
  </w:abstractNum>
  <w:abstractNum w:abstractNumId="127">
    <w:nsid w:val="57C7D42D"/>
    <w:multiLevelType w:val="hybridMultilevel"/>
    <w:lvl w:ilvl="0">
      <w:lvlJc w:val="left"/>
      <w:lvlText w:val="(%1)"/>
      <w:numFmt w:val="lowerRoman"/>
      <w:start w:val="3"/>
    </w:lvl>
  </w:abstractNum>
  <w:abstractNum w:abstractNumId="128">
    <w:nsid w:val="312167AD"/>
    <w:multiLevelType w:val="hybridMultilevel"/>
    <w:lvl w:ilvl="0">
      <w:lvlJc w:val="left"/>
      <w:lvlText w:val="•"/>
      <w:numFmt w:val="bullet"/>
      <w:start w:val="1"/>
    </w:lvl>
    <w:lvl w:ilvl="1">
      <w:lvlJc w:val="left"/>
      <w:lvlText w:val="(%2)"/>
      <w:numFmt w:val="decimal"/>
      <w:start w:val="2"/>
    </w:lvl>
  </w:abstractNum>
  <w:abstractNum w:abstractNumId="129">
    <w:nsid w:val="631B64D4"/>
    <w:multiLevelType w:val="hybridMultilevel"/>
    <w:lvl w:ilvl="0">
      <w:lvlJc w:val="left"/>
      <w:lvlText w:val="%1."/>
      <w:numFmt w:val="decimal"/>
      <w:start w:val="2"/>
    </w:lvl>
  </w:abstractNum>
  <w:abstractNum w:abstractNumId="130">
    <w:nsid w:val="78B5E776"/>
    <w:multiLevelType w:val="hybridMultilevel"/>
    <w:lvl w:ilvl="0">
      <w:lvlJc w:val="left"/>
      <w:lvlText w:val="%1."/>
      <w:numFmt w:val="decimal"/>
      <w:start w:val="3"/>
    </w:lvl>
  </w:abstractNum>
  <w:abstractNum w:abstractNumId="131">
    <w:nsid w:val="75486E47"/>
    <w:multiLevelType w:val="hybridMultilevel"/>
    <w:lvl w:ilvl="0">
      <w:lvlJc w:val="left"/>
      <w:lvlText w:val="%1."/>
      <w:numFmt w:val="decimal"/>
      <w:start w:val="3"/>
    </w:lvl>
  </w:abstractNum>
  <w:abstractNum w:abstractNumId="132">
    <w:nsid w:val="6E534CDE"/>
    <w:multiLevelType w:val="hybridMultilevel"/>
    <w:lvl w:ilvl="0">
      <w:lvlJc w:val="left"/>
      <w:lvlText w:val="%1."/>
      <w:numFmt w:val="decimal"/>
      <w:start w:val="3"/>
    </w:lvl>
  </w:abstractNum>
  <w:abstractNum w:abstractNumId="133">
    <w:nsid w:val="1A0DDE32"/>
    <w:multiLevelType w:val="hybridMultilevel"/>
    <w:lvl w:ilvl="0">
      <w:lvlJc w:val="left"/>
      <w:lvlText w:val="%1."/>
      <w:numFmt w:val="decimal"/>
      <w:start w:val="4"/>
    </w:lvl>
  </w:abstractNum>
  <w:abstractNum w:abstractNumId="134">
    <w:nsid w:val="65968C1C"/>
    <w:multiLevelType w:val="hybridMultilevel"/>
    <w:lvl w:ilvl="0">
      <w:lvlJc w:val="left"/>
      <w:lvlText w:val="%1."/>
      <w:numFmt w:val="decimal"/>
      <w:start w:val="4"/>
    </w:lvl>
  </w:abstractNum>
  <w:abstractNum w:abstractNumId="135">
    <w:nsid w:val="46263DEC"/>
    <w:multiLevelType w:val="hybridMultilevel"/>
    <w:lvl w:ilvl="0">
      <w:lvlJc w:val="left"/>
      <w:lvlText w:val="%1."/>
      <w:numFmt w:val="decimal"/>
      <w:start w:val="4"/>
    </w:lvl>
  </w:abstractNum>
  <w:abstractNum w:abstractNumId="136">
    <w:nsid w:val="260D8C4A"/>
    <w:multiLevelType w:val="hybridMultilevel"/>
    <w:lvl w:ilvl="0">
      <w:lvlJc w:val="left"/>
      <w:lvlText w:val="•"/>
      <w:numFmt w:val="bullet"/>
      <w:start w:val="1"/>
    </w:lvl>
  </w:abstractNum>
  <w:abstractNum w:abstractNumId="137">
    <w:nsid w:val="73D4D3C4"/>
    <w:multiLevelType w:val="hybridMultilevel"/>
    <w:lvl w:ilvl="0">
      <w:lvlJc w:val="left"/>
      <w:lvlText w:val="%1."/>
      <w:numFmt w:val="decimal"/>
      <w:start w:val="4"/>
    </w:lvl>
  </w:abstractNum>
  <w:abstractNum w:abstractNumId="138">
    <w:nsid w:val="746F2E30"/>
    <w:multiLevelType w:val="hybridMultilevel"/>
    <w:lvl w:ilvl="0">
      <w:lvlJc w:val="left"/>
      <w:lvlText w:val="%1."/>
      <w:numFmt w:val="decimal"/>
      <w:start w:val="4"/>
    </w:lvl>
  </w:abstractNum>
  <w:abstractNum w:abstractNumId="139">
    <w:nsid w:val="6FDE8AF6"/>
    <w:multiLevelType w:val="hybridMultilevel"/>
    <w:lvl w:ilvl="0">
      <w:lvlJc w:val="left"/>
      <w:lvlText w:val="%1."/>
      <w:numFmt w:val="decimal"/>
      <w:start w:val="5"/>
    </w:lvl>
  </w:abstractNum>
  <w:abstractNum w:abstractNumId="140">
    <w:nsid w:val="3FC32E20"/>
    <w:multiLevelType w:val="hybridMultilevel"/>
    <w:lvl w:ilvl="0">
      <w:lvlJc w:val="left"/>
      <w:lvlText w:val="6"/>
      <w:numFmt w:val="bullet"/>
      <w:start w:val="1"/>
    </w:lvl>
  </w:abstractNum>
  <w:abstractNum w:abstractNumId="141">
    <w:nsid w:val="49C0E823"/>
    <w:multiLevelType w:val="hybridMultilevel"/>
    <w:lvl w:ilvl="0">
      <w:lvlJc w:val="left"/>
      <w:lvlText w:val="%1."/>
      <w:numFmt w:val="decimal"/>
      <w:start w:val="7"/>
    </w:lvl>
  </w:abstractNum>
  <w:abstractNum w:abstractNumId="142">
    <w:nsid w:val="14D53685"/>
    <w:multiLevelType w:val="hybridMultilevel"/>
    <w:lvl w:ilvl="0">
      <w:lvlJc w:val="left"/>
      <w:lvlText w:val="%1."/>
      <w:numFmt w:val="decimal"/>
      <w:start w:val="8"/>
    </w:lvl>
  </w:abstractNum>
  <w:abstractNum w:abstractNumId="143">
    <w:nsid w:val="230F856C"/>
    <w:multiLevelType w:val="hybridMultilevel"/>
    <w:lvl w:ilvl="0">
      <w:lvlJc w:val="left"/>
      <w:lvlText w:val="%1."/>
      <w:numFmt w:val="decimal"/>
      <w:start w:val="8"/>
    </w:lvl>
  </w:abstractNum>
  <w:abstractNum w:abstractNumId="144">
    <w:nsid w:val="6EAA85FB"/>
    <w:multiLevelType w:val="hybridMultilevel"/>
    <w:lvl w:ilvl="0">
      <w:lvlJc w:val="left"/>
      <w:lvlText w:val="%1."/>
      <w:numFmt w:val="decimal"/>
      <w:start w:val="9"/>
    </w:lvl>
  </w:abstractNum>
  <w:abstractNum w:abstractNumId="145">
    <w:nsid w:val="3F06ECB2"/>
    <w:multiLevelType w:val="hybridMultilevel"/>
    <w:lvl w:ilvl="0">
      <w:lvlJc w:val="left"/>
      <w:lvlText w:val="(%1)"/>
      <w:numFmt w:val="lowerLetter"/>
      <w:start w:val="2"/>
    </w:lvl>
  </w:abstractNum>
  <w:abstractNum w:abstractNumId="146">
    <w:nsid w:val="3B594807"/>
    <w:multiLevelType w:val="hybridMultilevel"/>
    <w:lvl w:ilvl="0">
      <w:lvlJc w:val="left"/>
      <w:lvlText w:val="•"/>
      <w:numFmt w:val="bullet"/>
      <w:start w:val="1"/>
    </w:lvl>
  </w:abstractNum>
  <w:abstractNum w:abstractNumId="147">
    <w:nsid w:val="6CAA2304"/>
    <w:multiLevelType w:val="hybridMultilevel"/>
    <w:lvl w:ilvl="0">
      <w:lvlJc w:val="left"/>
      <w:lvlText w:val="%1."/>
      <w:numFmt w:val="decimal"/>
      <w:start w:val="9"/>
    </w:lvl>
  </w:abstractNum>
  <w:abstractNum w:abstractNumId="148">
    <w:nsid w:val="3F7C2FF4"/>
    <w:multiLevelType w:val="hybridMultilevel"/>
    <w:lvl w:ilvl="0">
      <w:lvlJc w:val="left"/>
      <w:lvlText w:val="%1."/>
      <w:numFmt w:val="decimal"/>
      <w:start w:val="9"/>
    </w:lvl>
  </w:abstractNum>
  <w:abstractNum w:abstractNumId="149">
    <w:nsid w:val="25413BEC"/>
    <w:multiLevelType w:val="hybridMultilevel"/>
    <w:lvl w:ilvl="0">
      <w:lvlJc w:val="left"/>
      <w:lvlText w:val="%1."/>
      <w:numFmt w:val="decimal"/>
      <w:start w:val="9"/>
    </w:lvl>
  </w:abstractNum>
  <w:abstractNum w:abstractNumId="150">
    <w:nsid w:val="17180B0B"/>
    <w:multiLevelType w:val="hybridMultilevel"/>
    <w:lvl w:ilvl="0">
      <w:lvlJc w:val="left"/>
      <w:lvlText w:val="(%1)"/>
      <w:numFmt w:val="lowerLetter"/>
      <w:start w:val="2"/>
    </w:lvl>
  </w:abstractNum>
  <w:abstractNum w:abstractNumId="151">
    <w:nsid w:val="579328B9"/>
    <w:multiLevelType w:val="hybridMultilevel"/>
    <w:lvl w:ilvl="0">
      <w:lvlJc w:val="left"/>
      <w:lvlText w:val="%1."/>
      <w:numFmt w:val="decimal"/>
      <w:start w:val="14"/>
    </w:lvl>
  </w:abstractNum>
  <w:abstractNum w:abstractNumId="152">
    <w:nsid w:val="5D205E20"/>
    <w:multiLevelType w:val="hybridMultilevel"/>
    <w:lvl w:ilvl="0">
      <w:lvlJc w:val="left"/>
      <w:lvlText w:val="•"/>
      <w:numFmt w:val="bullet"/>
      <w:start w:val="1"/>
    </w:lvl>
  </w:abstractNum>
  <w:abstractNum w:abstractNumId="153">
    <w:nsid w:val="11CCA8BA"/>
    <w:multiLevelType w:val="hybridMultilevel"/>
    <w:lvl w:ilvl="0">
      <w:lvlJc w:val="left"/>
      <w:lvlText w:val="•"/>
      <w:numFmt w:val="bullet"/>
      <w:start w:val="1"/>
    </w:lvl>
  </w:abstractNum>
  <w:abstractNum w:abstractNumId="154">
    <w:nsid w:val="4D32AB86"/>
    <w:multiLevelType w:val="hybridMultilevel"/>
    <w:lvl w:ilvl="0">
      <w:lvlJc w:val="left"/>
      <w:lvlText w:val="%1"/>
      <w:numFmt w:val="decimal"/>
      <w:start w:val="104"/>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57">
    <w:nsid w:val="5CB44A05"/>
    <w:multiLevelType w:val="hybridMultilevel"/>
    <w:lvl w:ilvl="0">
      <w:lvlJc w:val="left"/>
      <w:lvlText w:val="(%1)"/>
      <w:numFmt w:val="lowerLetter"/>
      <w:start w:val="2"/>
    </w:lvl>
  </w:abstractNum>
  <w:abstractNum w:abstractNumId="158">
    <w:nsid w:val="16CF80F1"/>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59">
    <w:nsid w:val="1C695DEC"/>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160">
    <w:nsid w:val="3FCFAED9"/>
    <w:multiLevelType w:val="hybridMultilevel"/>
    <w:lvl w:ilvl="0">
      <w:lvlJc w:val="left"/>
      <w:lvlText w:val="%1."/>
      <w:numFmt w:val="decimal"/>
      <w:start w:val="7"/>
    </w:lvl>
    <w:lvl w:ilvl="1">
      <w:lvlJc w:val="left"/>
      <w:lvlText w:val="(%2)"/>
      <w:numFmt w:val="lowerRoman"/>
      <w:start w:val="1"/>
    </w:lvl>
  </w:abstractNum>
  <w:abstractNum w:abstractNumId="161">
    <w:nsid w:val="F856867"/>
    <w:multiLevelType w:val="hybridMultilevel"/>
    <w:lvl w:ilvl="0">
      <w:lvlJc w:val="left"/>
      <w:lvlText w:val="%1."/>
      <w:numFmt w:val="decimal"/>
      <w:start w:val="1"/>
    </w:lvl>
  </w:abstractNum>
  <w:abstractNum w:abstractNumId="162">
    <w:nsid w:val="11B1CC33"/>
    <w:multiLevelType w:val="hybridMultilevel"/>
    <w:lvl w:ilvl="0">
      <w:lvlJc w:val="left"/>
      <w:lvlText w:val="(%1)"/>
      <w:numFmt w:val="lowerRoman"/>
      <w:start w:val="2"/>
    </w:lvl>
  </w:abstractNum>
  <w:abstractNum w:abstractNumId="163">
    <w:nsid w:val="2E22FBB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315" Type="http://schemas.openxmlformats.org/officeDocument/2006/relationships/image" Target="media/image284.png"/><Relationship Id="rId316" Type="http://schemas.openxmlformats.org/officeDocument/2006/relationships/image" Target="media/image285.png"/><Relationship Id="rId317"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jpeg"/><Relationship Id="rId344" Type="http://schemas.openxmlformats.org/officeDocument/2006/relationships/image" Target="media/image312.jpeg"/><Relationship Id="rId291" Type="http://schemas.openxmlformats.org/officeDocument/2006/relationships/hyperlink" Target="https://www.sec.gov/Archives/edgar/data/1840856/000121390021059752/ea150505ex2-1_archimedes.htm" TargetMode="External"/><Relationship Id="rId292" Type="http://schemas.openxmlformats.org/officeDocument/2006/relationships/hyperlink" Target="http://www.sec.gov/Archives/edgar/data/1840856/000121390022023274/ea159193ex3-1_soundhound.htm" TargetMode="External"/><Relationship Id="rId293" Type="http://schemas.openxmlformats.org/officeDocument/2006/relationships/hyperlink" Target="http://www.sec.gov/Archives/edgar/data/1840856/000121390022023274/ea159193ex3-2_soundhound.htm" TargetMode="External"/><Relationship Id="rId294" Type="http://schemas.openxmlformats.org/officeDocument/2006/relationships/hyperlink" Target="http://www.sec.gov/Archives/edgar/data/1840856/000121390022023274/ea159193ex4-1_soundhound.htm" TargetMode="External"/><Relationship Id="rId295" Type="http://schemas.openxmlformats.org/officeDocument/2006/relationships/hyperlink" Target="http://www.sec.gov/Archives/edgar/data/1840856/000121390022026797/fs12022ex4-2_soundhound.htm" TargetMode="External"/><Relationship Id="rId296" Type="http://schemas.openxmlformats.org/officeDocument/2006/relationships/hyperlink" Target="http://www.sec.gov/Archives/edgar/data/1840856/000121390022026797/fs12022ex4-3_soundhound.htm" TargetMode="External"/><Relationship Id="rId297" Type="http://schemas.openxmlformats.org/officeDocument/2006/relationships/hyperlink" Target="http://www.sec.gov/Archives/edgar/data/1840856/000121390022057012/fs12022ex5-1_soundhound.htm" TargetMode="External"/><Relationship Id="rId298" Type="http://schemas.openxmlformats.org/officeDocument/2006/relationships/hyperlink" Target="http://www.sec.gov/Archives/edgar/data/1840856/000121390021059752/ea150505ex10-3_archimedes.htm" TargetMode="External"/><Relationship Id="rId299" Type="http://schemas.openxmlformats.org/officeDocument/2006/relationships/hyperlink" Target="http://www.sec.gov/Archives/edgar/data/1840856/000121390021059752/ea150505ex10-4_archimedes.htm" TargetMode="External"/><Relationship Id="rId300" Type="http://schemas.openxmlformats.org/officeDocument/2006/relationships/hyperlink" Target="http://www.sec.gov/Archives/edgar/data/1840856/000121390022026797/fs12022ex10-3_soundhound.htm" TargetMode="External"/><Relationship Id="rId301" Type="http://schemas.openxmlformats.org/officeDocument/2006/relationships/hyperlink" Target="https://www.sec.gov/Archives/edgar/data/1840856/000121390022018967/f424b30422_archimedes.htm#T601" TargetMode="External"/><Relationship Id="rId302" Type="http://schemas.openxmlformats.org/officeDocument/2006/relationships/hyperlink" Target="http://www.sec.gov/Archives/edgar/data/1840856/000121390022018967/f424b30422_archimedes.htm#T602" TargetMode="External"/><Relationship Id="rId303" Type="http://schemas.openxmlformats.org/officeDocument/2006/relationships/hyperlink" Target="http://www.sec.gov/Archives/edgar/data/1840856/000121390022023274/ea159193ex10-8_soundhound.htm" TargetMode="External"/><Relationship Id="rId304" Type="http://schemas.openxmlformats.org/officeDocument/2006/relationships/hyperlink" Target="https://www.sec.gov/Archives/edgar/data/1840856/000121390022023274/ea159193ex10-9_soundhound.htm" TargetMode="External"/><Relationship Id="rId305" Type="http://schemas.openxmlformats.org/officeDocument/2006/relationships/hyperlink" Target="http://www.sec.gov/Archives/edgar/data/1840856/000121390022023274/ea159193ex10-10_soundhound.htm" TargetMode="External"/><Relationship Id="rId306" Type="http://schemas.openxmlformats.org/officeDocument/2006/relationships/hyperlink" Target="http://www.sec.gov/Archives/edgar/data/1840856/000121390022031794/ea161309ex10-1_soundhound.htm" TargetMode="External"/><Relationship Id="rId307" Type="http://schemas.openxmlformats.org/officeDocument/2006/relationships/hyperlink" Target="http://www.sec.gov/Archives/edgar/data/1840856/000121390022031794/ea161309ex10-2_soundhound.htm" TargetMode="External"/><Relationship Id="rId308" Type="http://schemas.openxmlformats.org/officeDocument/2006/relationships/hyperlink" Target="http://www.sec.gov/Archives/edgar/data/1840856/000121390022031794/ea161309ex10-3_soundhound.htm" TargetMode="External"/><Relationship Id="rId309" Type="http://schemas.openxmlformats.org/officeDocument/2006/relationships/hyperlink" Target="http://www.sec.gov/Archives/edgar/data/1840856/000121390022031794/ea161309ex10-4_soundhound.htm" TargetMode="External"/><Relationship Id="rId310" Type="http://schemas.openxmlformats.org/officeDocument/2006/relationships/hyperlink" Target="https://www.sec.gov/Archives/edgar/data/1840856/000121390022049015/ea164559ex10-1_sound.htm" TargetMode="External"/><Relationship Id="rId311" Type="http://schemas.openxmlformats.org/officeDocument/2006/relationships/hyperlink" Target="http://www.sec.gov/Archives/edgar/data/1840856/000121390022049015/ea164559ex10-2_sound.htm" TargetMode="External"/><Relationship Id="rId312" Type="http://schemas.openxmlformats.org/officeDocument/2006/relationships/hyperlink" Target="http://www.sec.gov/Archives/edgar/data/1840856/000121390022023274/ea159193ex21-1_soundhound.htm" TargetMode="External"/><Relationship Id="rId313" Type="http://schemas.openxmlformats.org/officeDocument/2006/relationships/hyperlink" Target="http://www.sec.gov/Archives/edgar/data/1840856/000121390022023274/ea159193ex99-1_soundhound.htm" TargetMode="External"/><Relationship Id="rId314" Type="http://schemas.openxmlformats.org/officeDocument/2006/relationships/hyperlink" Target="http://www.sec.gov/Archives/edgar/data/1840856/000121390022023274/ea159193ex99-2_soundhound.htm" TargetMode="External"/><Relationship Id="rId332" Type="http://schemas.openxmlformats.org/officeDocument/2006/relationships/hyperlink" Target="https://www.sec.gov/Archives/edgar/data/1840856/000121390022057012/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2022-11-22T17:54:02Z</dcterms:created>
  <dcterms:modified xsi:type="dcterms:W3CDTF">2022-11-22T17:54:02Z</dcterms:modified>
</cp:coreProperties>
</file>