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ZAGORSEK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834"/>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71,113</w:t>
            </w:r>
            <w:r>
              <w:rPr>
                <w:rFonts w:ascii="Times;serif" w:hAnsi="Times;serif"/>
                <w:color w:val="008000"/>
                <w:position w:val="7"/>
                <w:sz w:val="16"/>
                <w:sz w:val="20"/>
                <w:shd w:fill="FFFFFF" w:val="clear"/>
              </w:rPr>
              <w:t>(1)</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6.3286</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2,600,231</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herein was made to satisfy tax withholding obligations in connection with the vesting of shares of restricted stock units granted to the reporting person on August 3, 2023, August 1, 2024, July 31, 2025, and July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ZAGORSEK MICHAEL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1640"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3332</Characters>
  <CharactersWithSpaces>3878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