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529590</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554355</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1"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179" w:lineRule="exact"/>
        <w:rPr>
          <w:sz w:val="24"/>
          <w:szCs w:val="24"/>
          <w:color w:val="auto"/>
        </w:rPr>
      </w:pPr>
    </w:p>
    <w:p>
      <w:pPr>
        <w:ind w:left="5200"/>
        <w:spacing w:after="0"/>
        <w:rPr>
          <w:sz w:val="20"/>
          <w:szCs w:val="20"/>
          <w:color w:val="auto"/>
        </w:rPr>
      </w:pPr>
      <w:r>
        <w:rPr>
          <w:rFonts w:ascii="Times New Roman" w:cs="Times New Roman" w:eastAsia="Times New Roman" w:hAnsi="Times New Roman"/>
          <w:sz w:val="18"/>
          <w:szCs w:val="18"/>
          <w:color w:val="auto"/>
        </w:rPr>
        <w:t>(Mark One)</w:t>
      </w:r>
    </w:p>
    <w:p>
      <w:pPr>
        <w:spacing w:after="0" w:line="215" w:lineRule="exact"/>
        <w:rPr>
          <w:sz w:val="24"/>
          <w:szCs w:val="24"/>
          <w:color w:val="auto"/>
        </w:rPr>
      </w:pPr>
    </w:p>
    <w:p>
      <w:pPr>
        <w:jc w:val="center"/>
        <w:spacing w:after="0" w:line="453" w:lineRule="auto"/>
        <w:rPr>
          <w:sz w:val="20"/>
          <w:szCs w:val="20"/>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b w:val="1"/>
          <w:bCs w:val="1"/>
          <w:color w:val="auto"/>
        </w:rPr>
        <w:t>QUARTERLY REPORT PURSUANT TO SECTION 13 OR 15(d) OF THE SECURITIES EXCHANGE ACT OF 1934</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b w:val="1"/>
          <w:bCs w:val="1"/>
          <w:color w:val="auto"/>
        </w:rPr>
        <w:t>For the quarterly period ended September 30, 2024</w:t>
      </w:r>
    </w:p>
    <w:p>
      <w:pPr>
        <w:jc w:val="cente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77"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For the transition period from________to________</w:t>
      </w:r>
    </w:p>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001-40193</w:t>
      </w:r>
    </w:p>
    <w:p>
      <w:pPr>
        <w:spacing w:after="0" w:line="2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348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48" w:lineRule="exact"/>
        <w:rPr>
          <w:sz w:val="24"/>
          <w:szCs w:val="24"/>
          <w:color w:val="auto"/>
        </w:rPr>
      </w:pPr>
    </w:p>
    <w:tbl>
      <w:tblPr>
        <w:tblLayout w:type="fixed"/>
        <w:tblInd w:w="0" w:type="dxa"/>
        <w:tblCellMar>
          <w:top w:w="0" w:type="dxa"/>
          <w:left w:w="0" w:type="dxa"/>
          <w:bottom w:w="0" w:type="dxa"/>
          <w:right w:w="0" w:type="dxa"/>
        </w:tblCellMar>
      </w:tblPr>
      <w:tr>
        <w:trPr>
          <w:trHeight w:val="253"/>
        </w:trPr>
        <w:tc>
          <w:tcPr>
            <w:tcW w:w="5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Delaware</w:t>
            </w:r>
          </w:p>
        </w:tc>
        <w:tc>
          <w:tcPr>
            <w:tcW w:w="80" w:type="dxa"/>
            <w:vAlign w:val="bottom"/>
          </w:tcPr>
          <w:p>
            <w:pPr>
              <w:spacing w:after="0"/>
              <w:rPr>
                <w:sz w:val="21"/>
                <w:szCs w:val="21"/>
                <w:color w:val="auto"/>
              </w:rPr>
            </w:pPr>
          </w:p>
        </w:tc>
        <w:tc>
          <w:tcPr>
            <w:tcW w:w="2000" w:type="dxa"/>
            <w:vAlign w:val="bottom"/>
            <w:tcBorders>
              <w:bottom w:val="single" w:sz="8" w:color="auto"/>
            </w:tcBorders>
          </w:tcPr>
          <w:p>
            <w:pPr>
              <w:spacing w:after="0"/>
              <w:rPr>
                <w:sz w:val="21"/>
                <w:szCs w:val="21"/>
                <w:color w:val="auto"/>
              </w:rPr>
            </w:pPr>
          </w:p>
        </w:tc>
        <w:tc>
          <w:tcPr>
            <w:tcW w:w="3580" w:type="dxa"/>
            <w:vAlign w:val="bottom"/>
            <w:tcBorders>
              <w:bottom w:val="single" w:sz="8" w:color="auto"/>
            </w:tcBorders>
          </w:tcPr>
          <w:p>
            <w:pPr>
              <w:jc w:val="center"/>
              <w:ind w:right="1912"/>
              <w:spacing w:after="0"/>
              <w:rPr>
                <w:sz w:val="20"/>
                <w:szCs w:val="20"/>
                <w:color w:val="auto"/>
              </w:rPr>
            </w:pPr>
            <w:r>
              <w:rPr>
                <w:rFonts w:ascii="Times New Roman" w:cs="Times New Roman" w:eastAsia="Times New Roman" w:hAnsi="Times New Roman"/>
                <w:sz w:val="18"/>
                <w:szCs w:val="18"/>
                <w:b w:val="1"/>
                <w:bCs w:val="1"/>
                <w:color w:val="auto"/>
                <w:w w:val="98"/>
              </w:rPr>
              <w:t>86-1286799</w:t>
            </w:r>
          </w:p>
        </w:tc>
      </w:tr>
      <w:tr>
        <w:trPr>
          <w:trHeight w:val="220"/>
        </w:trPr>
        <w:tc>
          <w:tcPr>
            <w:tcW w:w="7660" w:type="dxa"/>
            <w:vAlign w:val="bottom"/>
            <w:gridSpan w:val="3"/>
          </w:tcPr>
          <w:p>
            <w:pPr>
              <w:jc w:val="center"/>
              <w:ind w:right="2080"/>
              <w:spacing w:after="0"/>
              <w:rPr>
                <w:sz w:val="20"/>
                <w:szCs w:val="20"/>
                <w:color w:val="auto"/>
              </w:rPr>
            </w:pPr>
            <w:r>
              <w:rPr>
                <w:rFonts w:ascii="Times New Roman" w:cs="Times New Roman" w:eastAsia="Times New Roman" w:hAnsi="Times New Roman"/>
                <w:sz w:val="18"/>
                <w:szCs w:val="18"/>
                <w:color w:val="auto"/>
                <w:w w:val="98"/>
              </w:rPr>
              <w:t>(State or other jurisdiction of</w:t>
            </w:r>
          </w:p>
        </w:tc>
        <w:tc>
          <w:tcPr>
            <w:tcW w:w="3580" w:type="dxa"/>
            <w:vAlign w:val="bottom"/>
          </w:tcPr>
          <w:p>
            <w:pPr>
              <w:jc w:val="center"/>
              <w:ind w:right="1912"/>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1"/>
        </w:trPr>
        <w:tc>
          <w:tcPr>
            <w:tcW w:w="7660" w:type="dxa"/>
            <w:vAlign w:val="bottom"/>
            <w:gridSpan w:val="3"/>
          </w:tcPr>
          <w:p>
            <w:pPr>
              <w:jc w:val="center"/>
              <w:ind w:right="2040"/>
              <w:spacing w:after="0"/>
              <w:rPr>
                <w:sz w:val="20"/>
                <w:szCs w:val="20"/>
                <w:color w:val="auto"/>
              </w:rPr>
            </w:pPr>
            <w:r>
              <w:rPr>
                <w:rFonts w:ascii="Times New Roman" w:cs="Times New Roman" w:eastAsia="Times New Roman" w:hAnsi="Times New Roman"/>
                <w:sz w:val="18"/>
                <w:szCs w:val="18"/>
                <w:color w:val="auto"/>
                <w:w w:val="98"/>
              </w:rPr>
              <w:t>incorporation or organization)</w:t>
            </w:r>
          </w:p>
        </w:tc>
        <w:tc>
          <w:tcPr>
            <w:tcW w:w="3580" w:type="dxa"/>
            <w:vAlign w:val="bottom"/>
          </w:tcPr>
          <w:p>
            <w:pPr>
              <w:jc w:val="center"/>
              <w:ind w:right="1852"/>
              <w:spacing w:after="0"/>
              <w:rPr>
                <w:sz w:val="20"/>
                <w:szCs w:val="20"/>
                <w:color w:val="auto"/>
              </w:rPr>
            </w:pPr>
            <w:r>
              <w:rPr>
                <w:rFonts w:ascii="Times New Roman" w:cs="Times New Roman" w:eastAsia="Times New Roman" w:hAnsi="Times New Roman"/>
                <w:sz w:val="18"/>
                <w:szCs w:val="18"/>
                <w:color w:val="auto"/>
                <w:w w:val="98"/>
              </w:rPr>
              <w:t>Identification No.)</w:t>
            </w:r>
          </w:p>
        </w:tc>
      </w:tr>
      <w:tr>
        <w:trPr>
          <w:trHeight w:val="563"/>
        </w:trPr>
        <w:tc>
          <w:tcPr>
            <w:tcW w:w="7660" w:type="dxa"/>
            <w:vAlign w:val="bottom"/>
            <w:tcBorders>
              <w:bottom w:val="single" w:sz="8" w:color="auto"/>
            </w:tcBorders>
            <w:gridSpan w:val="3"/>
          </w:tcPr>
          <w:p>
            <w:pPr>
              <w:jc w:val="center"/>
              <w:ind w:left="3512"/>
              <w:spacing w:after="0"/>
              <w:rPr>
                <w:sz w:val="20"/>
                <w:szCs w:val="20"/>
                <w:color w:val="auto"/>
              </w:rPr>
            </w:pPr>
            <w:r>
              <w:rPr>
                <w:rFonts w:ascii="Times New Roman" w:cs="Times New Roman" w:eastAsia="Times New Roman" w:hAnsi="Times New Roman"/>
                <w:sz w:val="18"/>
                <w:szCs w:val="18"/>
                <w:b w:val="1"/>
                <w:bCs w:val="1"/>
                <w:color w:val="auto"/>
                <w:w w:val="98"/>
              </w:rPr>
              <w:t>5400 Betsy Ross Drive, Santa Clara, CA 95054</w:t>
            </w:r>
          </w:p>
        </w:tc>
        <w:tc>
          <w:tcPr>
            <w:tcW w:w="3580" w:type="dxa"/>
            <w:vAlign w:val="bottom"/>
            <w:tcBorders>
              <w:bottom w:val="single" w:sz="8" w:color="auto"/>
            </w:tcBorders>
          </w:tcPr>
          <w:p>
            <w:pPr>
              <w:spacing w:after="0"/>
              <w:rPr>
                <w:sz w:val="24"/>
                <w:szCs w:val="24"/>
                <w:color w:val="auto"/>
              </w:rPr>
            </w:pPr>
          </w:p>
        </w:tc>
      </w:tr>
      <w:tr>
        <w:trPr>
          <w:trHeight w:val="239"/>
        </w:trPr>
        <w:tc>
          <w:tcPr>
            <w:tcW w:w="7660" w:type="dxa"/>
            <w:vAlign w:val="bottom"/>
            <w:gridSpan w:val="3"/>
          </w:tcPr>
          <w:p>
            <w:pPr>
              <w:jc w:val="center"/>
              <w:ind w:left="3512"/>
              <w:spacing w:after="0"/>
              <w:rPr>
                <w:sz w:val="20"/>
                <w:szCs w:val="20"/>
                <w:color w:val="auto"/>
              </w:rPr>
            </w:pPr>
            <w:r>
              <w:rPr>
                <w:rFonts w:ascii="Times New Roman" w:cs="Times New Roman" w:eastAsia="Times New Roman" w:hAnsi="Times New Roman"/>
                <w:sz w:val="18"/>
                <w:szCs w:val="18"/>
                <w:color w:val="auto"/>
                <w:w w:val="97"/>
              </w:rPr>
              <w:t>(Address of principal executive offices) (Zip Code)</w:t>
            </w:r>
          </w:p>
        </w:tc>
        <w:tc>
          <w:tcPr>
            <w:tcW w:w="3580" w:type="dxa"/>
            <w:vAlign w:val="bottom"/>
          </w:tcPr>
          <w:p>
            <w:pPr>
              <w:spacing w:after="0"/>
              <w:rPr>
                <w:sz w:val="20"/>
                <w:szCs w:val="20"/>
                <w:color w:val="auto"/>
              </w:rPr>
            </w:pPr>
          </w:p>
        </w:tc>
      </w:tr>
      <w:tr>
        <w:trPr>
          <w:trHeight w:val="563"/>
        </w:trPr>
        <w:tc>
          <w:tcPr>
            <w:tcW w:w="7660" w:type="dxa"/>
            <w:vAlign w:val="bottom"/>
            <w:tcBorders>
              <w:bottom w:val="single" w:sz="8" w:color="auto"/>
            </w:tcBorders>
            <w:gridSpan w:val="3"/>
          </w:tcPr>
          <w:p>
            <w:pPr>
              <w:jc w:val="center"/>
              <w:ind w:left="3512"/>
              <w:spacing w:after="0"/>
              <w:rPr>
                <w:sz w:val="20"/>
                <w:szCs w:val="20"/>
                <w:color w:val="auto"/>
              </w:rPr>
            </w:pPr>
            <w:r>
              <w:rPr>
                <w:rFonts w:ascii="Times New Roman" w:cs="Times New Roman" w:eastAsia="Times New Roman" w:hAnsi="Times New Roman"/>
                <w:sz w:val="18"/>
                <w:szCs w:val="18"/>
                <w:b w:val="1"/>
                <w:bCs w:val="1"/>
                <w:color w:val="auto"/>
                <w:w w:val="97"/>
              </w:rPr>
              <w:t>(408) 441-3200</w:t>
            </w:r>
          </w:p>
        </w:tc>
        <w:tc>
          <w:tcPr>
            <w:tcW w:w="3580" w:type="dxa"/>
            <w:vAlign w:val="bottom"/>
            <w:tcBorders>
              <w:bottom w:val="single" w:sz="8" w:color="auto"/>
            </w:tcBorders>
          </w:tcPr>
          <w:p>
            <w:pPr>
              <w:spacing w:after="0"/>
              <w:rPr>
                <w:sz w:val="24"/>
                <w:szCs w:val="24"/>
                <w:color w:val="auto"/>
              </w:rPr>
            </w:pPr>
          </w:p>
        </w:tc>
      </w:tr>
      <w:tr>
        <w:trPr>
          <w:trHeight w:val="239"/>
        </w:trPr>
        <w:tc>
          <w:tcPr>
            <w:tcW w:w="7660" w:type="dxa"/>
            <w:vAlign w:val="bottom"/>
            <w:gridSpan w:val="3"/>
          </w:tcPr>
          <w:p>
            <w:pPr>
              <w:jc w:val="center"/>
              <w:ind w:left="3512"/>
              <w:spacing w:after="0"/>
              <w:rPr>
                <w:sz w:val="20"/>
                <w:szCs w:val="20"/>
                <w:color w:val="auto"/>
              </w:rPr>
            </w:pPr>
            <w:r>
              <w:rPr>
                <w:rFonts w:ascii="Times New Roman" w:cs="Times New Roman" w:eastAsia="Times New Roman" w:hAnsi="Times New Roman"/>
                <w:sz w:val="18"/>
                <w:szCs w:val="18"/>
                <w:color w:val="auto"/>
                <w:w w:val="97"/>
              </w:rPr>
              <w:t>(Registrant’s telephone number, including area code)</w:t>
            </w:r>
          </w:p>
        </w:tc>
        <w:tc>
          <w:tcPr>
            <w:tcW w:w="3580" w:type="dxa"/>
            <w:vAlign w:val="bottom"/>
          </w:tcPr>
          <w:p>
            <w:pPr>
              <w:spacing w:after="0"/>
              <w:rPr>
                <w:sz w:val="20"/>
                <w:szCs w:val="20"/>
                <w:color w:val="auto"/>
              </w:rPr>
            </w:pPr>
          </w:p>
        </w:tc>
      </w:tr>
    </w:tbl>
    <w:p>
      <w:pPr>
        <w:spacing w:after="0" w:line="3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71348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83"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480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2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80" w:type="dxa"/>
            <w:vAlign w:val="bottom"/>
          </w:tcPr>
          <w:p>
            <w:pPr>
              <w:spacing w:after="0"/>
              <w:rPr>
                <w:sz w:val="20"/>
                <w:szCs w:val="20"/>
                <w:color w:val="auto"/>
              </w:rPr>
            </w:pPr>
          </w:p>
        </w:tc>
      </w:tr>
      <w:tr>
        <w:trPr>
          <w:trHeight w:val="437"/>
        </w:trPr>
        <w:tc>
          <w:tcPr>
            <w:tcW w:w="4800" w:type="dxa"/>
            <w:vAlign w:val="bottom"/>
            <w:gridSpan w:val="3"/>
          </w:tcPr>
          <w:p>
            <w:pPr>
              <w:jc w:val="center"/>
              <w:ind w:right="1120"/>
              <w:spacing w:after="0"/>
              <w:rPr>
                <w:sz w:val="20"/>
                <w:szCs w:val="20"/>
                <w:color w:val="auto"/>
              </w:rPr>
            </w:pPr>
            <w:r>
              <w:rPr>
                <w:rFonts w:ascii="Times New Roman" w:cs="Times New Roman" w:eastAsia="Times New Roman" w:hAnsi="Times New Roman"/>
                <w:sz w:val="18"/>
                <w:szCs w:val="18"/>
                <w:b w:val="1"/>
                <w:bCs w:val="1"/>
                <w:color w:val="auto"/>
                <w:w w:val="97"/>
              </w:rPr>
              <w:t>Title of each class</w:t>
            </w:r>
          </w:p>
        </w:tc>
        <w:tc>
          <w:tcPr>
            <w:tcW w:w="274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w w:val="96"/>
              </w:rPr>
              <w:t>Trading Symbol(s)</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Name of each exchange on which registered</w:t>
            </w:r>
          </w:p>
        </w:tc>
      </w:tr>
      <w:tr>
        <w:trPr>
          <w:trHeight w:val="25"/>
        </w:trPr>
        <w:tc>
          <w:tcPr>
            <w:tcW w:w="3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r>
      <w:tr>
        <w:trPr>
          <w:trHeight w:val="245"/>
        </w:trPr>
        <w:tc>
          <w:tcPr>
            <w:tcW w:w="3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80" w:type="dxa"/>
            <w:vAlign w:val="bottom"/>
          </w:tcPr>
          <w:p>
            <w:pPr>
              <w:spacing w:after="0"/>
              <w:rPr>
                <w:sz w:val="21"/>
                <w:szCs w:val="21"/>
                <w:color w:val="auto"/>
              </w:rPr>
            </w:pPr>
          </w:p>
        </w:tc>
      </w:tr>
      <w:tr>
        <w:trPr>
          <w:trHeight w:val="220"/>
        </w:trPr>
        <w:tc>
          <w:tcPr>
            <w:tcW w:w="4800" w:type="dxa"/>
            <w:vAlign w:val="bottom"/>
            <w:gridSpan w:val="3"/>
            <w:shd w:val="clear" w:color="auto" w:fill="CCEEFF"/>
          </w:tcPr>
          <w:p>
            <w:pPr>
              <w:jc w:val="center"/>
              <w:ind w:right="1140"/>
              <w:spacing w:after="0"/>
              <w:rPr>
                <w:sz w:val="20"/>
                <w:szCs w:val="20"/>
                <w:color w:val="auto"/>
              </w:rPr>
            </w:pPr>
            <w:r>
              <w:rPr>
                <w:rFonts w:ascii="Times New Roman" w:cs="Times New Roman" w:eastAsia="Times New Roman" w:hAnsi="Times New Roman"/>
                <w:sz w:val="18"/>
                <w:szCs w:val="18"/>
                <w:color w:val="auto"/>
                <w:w w:val="98"/>
              </w:rPr>
              <w:t>Class A Common Stock, par value $0.0001 per</w:t>
            </w:r>
          </w:p>
        </w:tc>
        <w:tc>
          <w:tcPr>
            <w:tcW w:w="2740" w:type="dxa"/>
            <w:vAlign w:val="bottom"/>
            <w:gridSpan w:val="2"/>
            <w:shd w:val="clear" w:color="auto" w:fill="CCEEFF"/>
          </w:tcPr>
          <w:p>
            <w:pPr>
              <w:jc w:val="center"/>
              <w:ind w:right="1140"/>
              <w:spacing w:after="0"/>
              <w:rPr>
                <w:sz w:val="20"/>
                <w:szCs w:val="20"/>
                <w:color w:val="auto"/>
              </w:rPr>
            </w:pPr>
            <w:r>
              <w:rPr>
                <w:rFonts w:ascii="Times New Roman" w:cs="Times New Roman" w:eastAsia="Times New Roman" w:hAnsi="Times New Roman"/>
                <w:sz w:val="18"/>
                <w:szCs w:val="18"/>
                <w:color w:val="auto"/>
                <w:w w:val="97"/>
              </w:rPr>
              <w:t>SOUN</w:t>
            </w: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The Nasdaq Stock Market LLC</w:t>
            </w:r>
          </w:p>
        </w:tc>
      </w:tr>
      <w:tr>
        <w:trPr>
          <w:trHeight w:val="237"/>
        </w:trPr>
        <w:tc>
          <w:tcPr>
            <w:tcW w:w="4800" w:type="dxa"/>
            <w:vAlign w:val="bottom"/>
            <w:tcBorders>
              <w:bottom w:val="single" w:sz="8" w:color="CCEEFF"/>
            </w:tcBorders>
            <w:gridSpan w:val="3"/>
            <w:shd w:val="clear" w:color="auto" w:fill="CCEEFF"/>
          </w:tcPr>
          <w:p>
            <w:pPr>
              <w:jc w:val="center"/>
              <w:ind w:right="1140"/>
              <w:spacing w:after="0"/>
              <w:rPr>
                <w:sz w:val="20"/>
                <w:szCs w:val="20"/>
                <w:color w:val="auto"/>
              </w:rPr>
            </w:pPr>
            <w:r>
              <w:rPr>
                <w:rFonts w:ascii="Times New Roman" w:cs="Times New Roman" w:eastAsia="Times New Roman" w:hAnsi="Times New Roman"/>
                <w:sz w:val="18"/>
                <w:szCs w:val="18"/>
                <w:color w:val="auto"/>
                <w:w w:val="99"/>
              </w:rPr>
              <w:t>share</w:t>
            </w:r>
          </w:p>
        </w:tc>
        <w:tc>
          <w:tcPr>
            <w:tcW w:w="2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80" w:type="dxa"/>
            <w:vAlign w:val="bottom"/>
            <w:tcBorders>
              <w:bottom w:val="single" w:sz="8" w:color="CCEEFF"/>
            </w:tcBorders>
            <w:shd w:val="clear" w:color="auto" w:fill="CCEEFF"/>
          </w:tcPr>
          <w:p>
            <w:pPr>
              <w:spacing w:after="0"/>
              <w:rPr>
                <w:sz w:val="20"/>
                <w:szCs w:val="20"/>
                <w:color w:val="auto"/>
              </w:rPr>
            </w:pPr>
          </w:p>
        </w:tc>
      </w:tr>
      <w:tr>
        <w:trPr>
          <w:trHeight w:val="265"/>
        </w:trPr>
        <w:tc>
          <w:tcPr>
            <w:tcW w:w="3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80" w:type="dxa"/>
            <w:vAlign w:val="bottom"/>
          </w:tcPr>
          <w:p>
            <w:pPr>
              <w:spacing w:after="0"/>
              <w:rPr>
                <w:sz w:val="23"/>
                <w:szCs w:val="23"/>
                <w:color w:val="auto"/>
              </w:rPr>
            </w:pPr>
          </w:p>
        </w:tc>
      </w:tr>
      <w:tr>
        <w:trPr>
          <w:trHeight w:val="239"/>
        </w:trPr>
        <w:tc>
          <w:tcPr>
            <w:tcW w:w="4800" w:type="dxa"/>
            <w:vAlign w:val="bottom"/>
            <w:gridSpan w:val="3"/>
            <w:shd w:val="clear" w:color="auto" w:fill="CCEEFF"/>
          </w:tcPr>
          <w:p>
            <w:pPr>
              <w:jc w:val="center"/>
              <w:ind w:right="1140"/>
              <w:spacing w:after="0"/>
              <w:rPr>
                <w:sz w:val="20"/>
                <w:szCs w:val="20"/>
                <w:color w:val="auto"/>
              </w:rPr>
            </w:pPr>
            <w:r>
              <w:rPr>
                <w:rFonts w:ascii="Times New Roman" w:cs="Times New Roman" w:eastAsia="Times New Roman" w:hAnsi="Times New Roman"/>
                <w:sz w:val="18"/>
                <w:szCs w:val="18"/>
                <w:color w:val="auto"/>
                <w:w w:val="96"/>
              </w:rPr>
              <w:t>Redeemable Warrants</w:t>
            </w:r>
          </w:p>
        </w:tc>
        <w:tc>
          <w:tcPr>
            <w:tcW w:w="2740" w:type="dxa"/>
            <w:vAlign w:val="bottom"/>
            <w:gridSpan w:val="2"/>
            <w:shd w:val="clear" w:color="auto" w:fill="CCEEFF"/>
          </w:tcPr>
          <w:p>
            <w:pPr>
              <w:jc w:val="center"/>
              <w:ind w:right="1140"/>
              <w:spacing w:after="0"/>
              <w:rPr>
                <w:sz w:val="20"/>
                <w:szCs w:val="20"/>
                <w:color w:val="auto"/>
              </w:rPr>
            </w:pPr>
            <w:r>
              <w:rPr>
                <w:rFonts w:ascii="Times New Roman" w:cs="Times New Roman" w:eastAsia="Times New Roman" w:hAnsi="Times New Roman"/>
                <w:sz w:val="18"/>
                <w:szCs w:val="18"/>
                <w:color w:val="auto"/>
                <w:w w:val="96"/>
              </w:rPr>
              <w:t>SOUNW</w:t>
            </w: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The Nasdaq Stock Market LLC</w:t>
            </w:r>
          </w:p>
        </w:tc>
      </w:tr>
      <w:tr>
        <w:trPr>
          <w:trHeight w:val="25"/>
        </w:trPr>
        <w:tc>
          <w:tcPr>
            <w:tcW w:w="3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80" w:type="dxa"/>
            <w:vAlign w:val="bottom"/>
            <w:shd w:val="clear" w:color="auto" w:fill="CCEEFF"/>
          </w:tcPr>
          <w:p>
            <w:pPr>
              <w:spacing w:after="0"/>
              <w:rPr>
                <w:sz w:val="2"/>
                <w:szCs w:val="2"/>
                <w:color w:val="auto"/>
              </w:rPr>
            </w:pPr>
          </w:p>
        </w:tc>
      </w:tr>
    </w:tbl>
    <w:p>
      <w:pPr>
        <w:spacing w:after="0" w:line="247" w:lineRule="exact"/>
        <w:rPr>
          <w:sz w:val="24"/>
          <w:szCs w:val="24"/>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38" w:lineRule="exact"/>
        <w:rPr>
          <w:sz w:val="24"/>
          <w:szCs w:val="24"/>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51" w:lineRule="exact"/>
        <w:rPr>
          <w:sz w:val="24"/>
          <w:szCs w:val="24"/>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331" w:right="339" w:bottom="0" w:gutter="0" w:footer="0" w:header="0"/>
        </w:sectPr>
      </w:pPr>
    </w:p>
    <w:p>
      <w:pPr>
        <w:spacing w:after="0" w:line="205" w:lineRule="exact"/>
        <w:rPr>
          <w:sz w:val="24"/>
          <w:szCs w:val="24"/>
          <w:color w:val="auto"/>
        </w:rPr>
      </w:pPr>
    </w:p>
    <w:p>
      <w:pPr>
        <w:ind w:left="20"/>
        <w:spacing w:after="0"/>
        <w:rPr>
          <w:sz w:val="20"/>
          <w:szCs w:val="20"/>
          <w:color w:val="auto"/>
        </w:rPr>
      </w:pPr>
      <w:r>
        <w:rPr>
          <w:rFonts w:ascii="Wingdings" w:cs="Wingdings" w:eastAsia="Wingdings" w:hAnsi="Wingdings"/>
          <w:sz w:val="18"/>
          <w:szCs w:val="18"/>
          <w:b w:val="1"/>
          <w:bCs w:val="1"/>
          <w:color w:val="auto"/>
        </w:rPr>
        <w:t>x</w:t>
      </w:r>
    </w:p>
    <w:p>
      <w:pPr>
        <w:spacing w:after="0" w:line="20" w:lineRule="exact"/>
        <w:rPr>
          <w:sz w:val="24"/>
          <w:szCs w:val="24"/>
          <w:color w:val="auto"/>
        </w:rPr>
      </w:pPr>
      <w:r>
        <w:rPr>
          <w:sz w:val="24"/>
          <w:szCs w:val="24"/>
          <w:color w:val="auto"/>
        </w:rPr>
        <w:br w:type="column"/>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Large accelerated filer</w:t>
      </w:r>
    </w:p>
    <w:p>
      <w:pPr>
        <w:spacing w:after="0" w:line="20" w:lineRule="exact"/>
        <w:rPr>
          <w:sz w:val="24"/>
          <w:szCs w:val="24"/>
          <w:color w:val="auto"/>
        </w:rPr>
      </w:pPr>
      <w:r>
        <w:rPr>
          <w:sz w:val="24"/>
          <w:szCs w:val="24"/>
          <w:color w:val="auto"/>
        </w:rPr>
        <w:br w:type="column"/>
      </w:r>
    </w:p>
    <w:p>
      <w:pPr>
        <w:spacing w:after="0" w:line="190" w:lineRule="exact"/>
        <w:rPr>
          <w:sz w:val="24"/>
          <w:szCs w:val="24"/>
          <w:color w:val="auto"/>
        </w:rPr>
      </w:pPr>
    </w:p>
    <w:p>
      <w:pPr>
        <w:spacing w:after="0"/>
        <w:rPr>
          <w:sz w:val="20"/>
          <w:szCs w:val="20"/>
          <w:color w:val="auto"/>
        </w:rPr>
      </w:pP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br w:type="column"/>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69" w:lineRule="exact"/>
        <w:rPr>
          <w:sz w:val="24"/>
          <w:szCs w:val="24"/>
          <w:color w:val="auto"/>
        </w:rPr>
      </w:pPr>
    </w:p>
    <w:p>
      <w:pPr>
        <w:sectPr>
          <w:pgSz w:w="11900" w:h="16838" w:orient="portrait"/>
          <w:cols w:equalWidth="0" w:num="4">
            <w:col w:w="220" w:space="140"/>
            <w:col w:w="4560" w:space="720"/>
            <w:col w:w="160" w:space="180"/>
            <w:col w:w="5260"/>
          </w:cols>
          <w:pgMar w:left="320" w:top="331" w:right="339" w:bottom="0" w:gutter="0" w:footer="0" w:header="0"/>
          <w:type w:val="continuous"/>
        </w:sectPr>
      </w:pPr>
    </w:p>
    <w:p>
      <w:pPr>
        <w:spacing w:after="0" w:line="18" w:lineRule="exact"/>
        <w:rPr>
          <w:sz w:val="24"/>
          <w:szCs w:val="24"/>
          <w:color w:val="auto"/>
        </w:rPr>
      </w:pPr>
    </w:p>
    <w:p>
      <w:pPr>
        <w:ind w:left="20"/>
        <w:spacing w:after="0"/>
        <w:rPr>
          <w:sz w:val="20"/>
          <w:szCs w:val="20"/>
          <w:color w:val="auto"/>
        </w:rPr>
      </w:pP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69" w:lineRule="exact"/>
        <w:rPr>
          <w:sz w:val="24"/>
          <w:szCs w:val="24"/>
          <w:color w:val="auto"/>
        </w:rPr>
      </w:pPr>
    </w:p>
    <w:p>
      <w:pPr>
        <w:sectPr>
          <w:pgSz w:w="11900" w:h="16838" w:orient="portrait"/>
          <w:cols w:equalWidth="0" w:num="4">
            <w:col w:w="180" w:space="180"/>
            <w:col w:w="4560" w:space="720"/>
            <w:col w:w="160" w:space="180"/>
            <w:col w:w="5260"/>
          </w:cols>
          <w:pgMar w:left="320" w:top="331" w:right="339" w:bottom="0" w:gutter="0" w:footer="0" w:header="0"/>
          <w:type w:val="continuous"/>
        </w:sectPr>
      </w:pPr>
    </w:p>
    <w:p>
      <w:pPr>
        <w:spacing w:after="0" w:line="18" w:lineRule="exact"/>
        <w:rPr>
          <w:sz w:val="24"/>
          <w:szCs w:val="24"/>
          <w:color w:val="auto"/>
        </w:rPr>
      </w:pPr>
    </w:p>
    <w:p>
      <w:pPr>
        <w:ind w:left="5640"/>
        <w:spacing w:after="0"/>
        <w:rPr>
          <w:sz w:val="20"/>
          <w:szCs w:val="20"/>
          <w:color w:val="auto"/>
        </w:rPr>
      </w:pP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11" w:lineRule="exact"/>
        <w:rPr>
          <w:sz w:val="24"/>
          <w:szCs w:val="24"/>
          <w:color w:val="auto"/>
        </w:rPr>
      </w:pPr>
    </w:p>
    <w:p>
      <w:pPr>
        <w:sectPr>
          <w:pgSz w:w="11900" w:h="16838" w:orient="portrait"/>
          <w:cols w:equalWidth="0" w:num="2">
            <w:col w:w="5800" w:space="180"/>
            <w:col w:w="5260"/>
          </w:cols>
          <w:pgMar w:left="320" w:top="331" w:right="339" w:bottom="0" w:gutter="0" w:footer="0" w:header="0"/>
          <w:type w:val="continuous"/>
        </w:sectPr>
      </w:pPr>
    </w:p>
    <w:p>
      <w:pPr>
        <w:spacing w:after="0" w:line="96" w:lineRule="exact"/>
        <w:rPr>
          <w:sz w:val="24"/>
          <w:szCs w:val="24"/>
          <w:color w:val="auto"/>
        </w:rPr>
      </w:pPr>
    </w:p>
    <w:p>
      <w:pPr>
        <w:ind w:firstLine="636"/>
        <w:spacing w:after="0" w:line="274"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24"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ectPr>
          <w:pgSz w:w="11900" w:h="16838" w:orient="portrait"/>
          <w:cols w:equalWidth="0" w:num="1">
            <w:col w:w="11240"/>
          </w:cols>
          <w:pgMar w:left="320" w:top="331" w:right="339" w:bottom="0" w:gutter="0" w:footer="0" w:header="0"/>
          <w:type w:val="continuous"/>
        </w:sectPr>
      </w:pPr>
    </w:p>
    <w:bookmarkStart w:id="1" w:name="page2"/>
    <w:bookmarkEnd w:id="1"/>
    <w:p>
      <w:pPr>
        <w:ind w:firstLine="636"/>
        <w:spacing w:after="0" w:line="274" w:lineRule="auto"/>
        <w:rPr>
          <w:sz w:val="20"/>
          <w:szCs w:val="20"/>
          <w:color w:val="auto"/>
        </w:rPr>
      </w:pPr>
      <w:r>
        <w:rPr>
          <w:rFonts w:ascii="Times New Roman" w:cs="Times New Roman" w:eastAsia="Times New Roman" w:hAnsi="Times New Roman"/>
          <w:sz w:val="18"/>
          <w:szCs w:val="18"/>
          <w:color w:val="auto"/>
        </w:rPr>
        <w:t>As of November 8, 2024, there were 337,014,817 shares of the Company’s Class A Common Stock, $0.0001 par value per share, issued and outstanding, and 32,735,408 shares of the Company’s Class B Common Stock, $0.0001 par value per share,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775970</wp:posOffset>
            </wp:positionV>
            <wp:extent cx="716026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123825</wp:posOffset>
            </wp:positionV>
            <wp:extent cx="71348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149225</wp:posOffset>
            </wp:positionV>
            <wp:extent cx="71348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shd w:val="clear" w:color="auto" w:fill="CCEEFF"/>
          </w:tcPr>
          <w:p>
            <w:pPr>
              <w:spacing w:after="0"/>
              <w:rPr>
                <w:sz w:val="22"/>
                <w:szCs w:val="22"/>
                <w:color w:val="auto"/>
              </w:rPr>
            </w:pPr>
          </w:p>
        </w:tc>
        <w:tc>
          <w:tcPr>
            <w:tcW w:w="1010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1120" w:type="dxa"/>
            <w:vAlign w:val="bottom"/>
            <w:shd w:val="clear" w:color="auto" w:fill="CCEEFF"/>
          </w:tcPr>
          <w:p>
            <w:pPr>
              <w:jc w:val="center"/>
              <w:ind w:left="132"/>
              <w:spacing w:after="0"/>
              <w:rPr>
                <w:sz w:val="20"/>
                <w:szCs w:val="20"/>
                <w:color w:val="auto"/>
              </w:rPr>
            </w:pPr>
            <w:r>
              <w:rPr>
                <w:rFonts w:ascii="Times New Roman" w:cs="Times New Roman" w:eastAsia="Times New Roman" w:hAnsi="Times New Roman"/>
                <w:sz w:val="18"/>
                <w:szCs w:val="18"/>
                <w:color w:val="auto"/>
              </w:rPr>
              <w:t>1</w:t>
            </w:r>
          </w:p>
        </w:tc>
      </w:tr>
      <w:tr>
        <w:trPr>
          <w:trHeight w:val="265"/>
        </w:trPr>
        <w:tc>
          <w:tcPr>
            <w:tcW w:w="20" w:type="dxa"/>
            <w:vAlign w:val="bottom"/>
            <w:tcBorders>
              <w:top w:val="single" w:sz="8" w:color="CCEEFF"/>
            </w:tcBorders>
          </w:tcPr>
          <w:p>
            <w:pPr>
              <w:spacing w:after="0"/>
              <w:rPr>
                <w:sz w:val="23"/>
                <w:szCs w:val="23"/>
                <w:color w:val="auto"/>
              </w:rPr>
            </w:pPr>
          </w:p>
        </w:tc>
        <w:tc>
          <w:tcPr>
            <w:tcW w:w="8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60" w:type="dxa"/>
            <w:vAlign w:val="bottom"/>
            <w:tcBorders>
              <w:top w:val="single" w:sz="8" w:color="CCEEFF"/>
            </w:tcBorders>
          </w:tcPr>
          <w:p>
            <w:pPr>
              <w:spacing w:after="0"/>
              <w:rPr>
                <w:sz w:val="23"/>
                <w:szCs w:val="23"/>
                <w:color w:val="auto"/>
              </w:rPr>
            </w:pPr>
          </w:p>
        </w:tc>
        <w:tc>
          <w:tcPr>
            <w:tcW w:w="980" w:type="dxa"/>
            <w:vAlign w:val="bottom"/>
            <w:tcBorders>
              <w:top w:val="single" w:sz="8" w:color="CCEEFF"/>
            </w:tcBorders>
          </w:tcPr>
          <w:p>
            <w:pPr>
              <w:spacing w:after="0"/>
              <w:rPr>
                <w:sz w:val="23"/>
                <w:szCs w:val="23"/>
                <w:color w:val="auto"/>
              </w:rPr>
            </w:pPr>
          </w:p>
        </w:tc>
        <w:tc>
          <w:tcPr>
            <w:tcW w:w="124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120" w:type="dxa"/>
            <w:vAlign w:val="bottom"/>
            <w:tcBorders>
              <w:top w:val="single" w:sz="8" w:color="CCEEFF"/>
            </w:tcBorders>
          </w:tcPr>
          <w:p>
            <w:pPr>
              <w:spacing w:after="0"/>
              <w:rPr>
                <w:sz w:val="23"/>
                <w:szCs w:val="23"/>
                <w:color w:val="auto"/>
              </w:rPr>
            </w:pPr>
          </w:p>
        </w:tc>
      </w:tr>
      <w:tr>
        <w:trPr>
          <w:trHeight w:val="245"/>
        </w:trPr>
        <w:tc>
          <w:tcPr>
            <w:tcW w:w="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line="199" w:lineRule="exact"/>
              <w:rPr>
                <w:sz w:val="20"/>
                <w:szCs w:val="20"/>
                <w:color w:val="auto"/>
              </w:rPr>
            </w:pPr>
            <w:r>
              <w:rPr>
                <w:rFonts w:ascii="Times New Roman" w:cs="Times New Roman" w:eastAsia="Times New Roman" w:hAnsi="Times New Roman"/>
                <w:sz w:val="18"/>
                <w:szCs w:val="18"/>
                <w:color w:val="auto"/>
              </w:rPr>
              <w:t>Item 1.</w:t>
            </w:r>
          </w:p>
        </w:tc>
        <w:tc>
          <w:tcPr>
            <w:tcW w:w="9280" w:type="dxa"/>
            <w:vAlign w:val="bottom"/>
            <w:gridSpan w:val="21"/>
            <w:shd w:val="clear" w:color="auto" w:fill="CCEEFF"/>
          </w:tcPr>
          <w:p>
            <w:pPr>
              <w:ind w:left="200"/>
              <w:spacing w:after="0" w:line="199" w:lineRule="exact"/>
              <w:rPr>
                <w:sz w:val="20"/>
                <w:szCs w:val="20"/>
                <w:color w:val="auto"/>
              </w:rPr>
            </w:pPr>
            <w:r>
              <w:rPr>
                <w:rFonts w:ascii="Times New Roman" w:cs="Times New Roman" w:eastAsia="Times New Roman" w:hAnsi="Times New Roman"/>
                <w:sz w:val="18"/>
                <w:szCs w:val="18"/>
                <w:color w:val="0000FF"/>
              </w:rPr>
              <w:t>Condensed Consolidated Financial Statements</w:t>
            </w:r>
          </w:p>
        </w:tc>
        <w:tc>
          <w:tcPr>
            <w:tcW w:w="1120" w:type="dxa"/>
            <w:vAlign w:val="bottom"/>
            <w:shd w:val="clear" w:color="auto" w:fill="CCEEFF"/>
          </w:tcPr>
          <w:p>
            <w:pPr>
              <w:jc w:val="center"/>
              <w:ind w:left="132"/>
              <w:spacing w:after="0" w:line="199" w:lineRule="exact"/>
              <w:rPr>
                <w:sz w:val="20"/>
                <w:szCs w:val="20"/>
                <w:color w:val="auto"/>
              </w:rPr>
            </w:pPr>
            <w:r>
              <w:rPr>
                <w:rFonts w:ascii="Times New Roman" w:cs="Times New Roman" w:eastAsia="Times New Roman" w:hAnsi="Times New Roman"/>
                <w:sz w:val="18"/>
                <w:szCs w:val="18"/>
                <w:color w:val="auto"/>
              </w:rPr>
              <w:t>1</w:t>
            </w:r>
          </w:p>
        </w:tc>
      </w:tr>
      <w:tr>
        <w:trPr>
          <w:trHeight w:val="265"/>
        </w:trPr>
        <w:tc>
          <w:tcPr>
            <w:tcW w:w="2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0" w:type="dxa"/>
            <w:vAlign w:val="bottom"/>
            <w:tcBorders>
              <w:top w:val="single" w:sz="8" w:color="0000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60" w:type="dxa"/>
            <w:vAlign w:val="bottom"/>
            <w:tcBorders>
              <w:top w:val="single" w:sz="8" w:color="CCEEFF"/>
            </w:tcBorders>
          </w:tcPr>
          <w:p>
            <w:pPr>
              <w:spacing w:after="0"/>
              <w:rPr>
                <w:sz w:val="23"/>
                <w:szCs w:val="23"/>
                <w:color w:val="auto"/>
              </w:rPr>
            </w:pPr>
          </w:p>
        </w:tc>
        <w:tc>
          <w:tcPr>
            <w:tcW w:w="980" w:type="dxa"/>
            <w:vAlign w:val="bottom"/>
            <w:tcBorders>
              <w:top w:val="single" w:sz="8" w:color="CCEEFF"/>
            </w:tcBorders>
          </w:tcPr>
          <w:p>
            <w:pPr>
              <w:spacing w:after="0"/>
              <w:rPr>
                <w:sz w:val="23"/>
                <w:szCs w:val="23"/>
                <w:color w:val="auto"/>
              </w:rPr>
            </w:pPr>
          </w:p>
        </w:tc>
        <w:tc>
          <w:tcPr>
            <w:tcW w:w="124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120" w:type="dxa"/>
            <w:vAlign w:val="bottom"/>
            <w:tcBorders>
              <w:top w:val="single" w:sz="8" w:color="CCEEFF"/>
            </w:tcBorders>
          </w:tcPr>
          <w:p>
            <w:pPr>
              <w:spacing w:after="0"/>
              <w:rPr>
                <w:sz w:val="23"/>
                <w:szCs w:val="23"/>
                <w:color w:val="auto"/>
              </w:rPr>
            </w:pPr>
          </w:p>
        </w:tc>
      </w:tr>
      <w:tr>
        <w:trPr>
          <w:trHeight w:val="245"/>
        </w:trPr>
        <w:tc>
          <w:tcPr>
            <w:tcW w:w="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9280" w:type="dxa"/>
            <w:vAlign w:val="bottom"/>
            <w:gridSpan w:val="21"/>
            <w:shd w:val="clear" w:color="auto" w:fill="CCEEFF"/>
          </w:tcPr>
          <w:p>
            <w:pPr>
              <w:ind w:left="200"/>
              <w:spacing w:after="0" w:line="199" w:lineRule="exact"/>
              <w:rPr>
                <w:sz w:val="20"/>
                <w:szCs w:val="20"/>
                <w:color w:val="auto"/>
              </w:rPr>
            </w:pPr>
            <w:r>
              <w:rPr>
                <w:rFonts w:ascii="Times New Roman" w:cs="Times New Roman" w:eastAsia="Times New Roman" w:hAnsi="Times New Roman"/>
                <w:sz w:val="18"/>
                <w:szCs w:val="18"/>
                <w:color w:val="0000FF"/>
              </w:rPr>
              <w:t>Condensed Consolidated Balance Sheets as of September 30, 2024 (unaudited) and December 31, 2023</w:t>
            </w:r>
          </w:p>
        </w:tc>
        <w:tc>
          <w:tcPr>
            <w:tcW w:w="1120" w:type="dxa"/>
            <w:vAlign w:val="bottom"/>
            <w:shd w:val="clear" w:color="auto" w:fill="CCEEFF"/>
          </w:tcPr>
          <w:p>
            <w:pPr>
              <w:jc w:val="center"/>
              <w:ind w:left="132"/>
              <w:spacing w:after="0" w:line="199" w:lineRule="exact"/>
              <w:rPr>
                <w:sz w:val="20"/>
                <w:szCs w:val="20"/>
                <w:color w:val="auto"/>
              </w:rPr>
            </w:pPr>
            <w:r>
              <w:rPr>
                <w:rFonts w:ascii="Times New Roman" w:cs="Times New Roman" w:eastAsia="Times New Roman" w:hAnsi="Times New Roman"/>
                <w:sz w:val="18"/>
                <w:szCs w:val="18"/>
                <w:color w:val="auto"/>
              </w:rPr>
              <w:t>2</w:t>
            </w:r>
          </w:p>
        </w:tc>
      </w:tr>
      <w:tr>
        <w:trPr>
          <w:trHeight w:val="265"/>
        </w:trPr>
        <w:tc>
          <w:tcPr>
            <w:tcW w:w="2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0" w:type="dxa"/>
            <w:vAlign w:val="bottom"/>
            <w:tcBorders>
              <w:top w:val="single" w:sz="8" w:color="0000FF"/>
            </w:tcBorders>
          </w:tcPr>
          <w:p>
            <w:pPr>
              <w:spacing w:after="0"/>
              <w:rPr>
                <w:sz w:val="23"/>
                <w:szCs w:val="23"/>
                <w:color w:val="auto"/>
              </w:rPr>
            </w:pPr>
          </w:p>
        </w:tc>
        <w:tc>
          <w:tcPr>
            <w:tcW w:w="640" w:type="dxa"/>
            <w:vAlign w:val="bottom"/>
            <w:tcBorders>
              <w:top w:val="single" w:sz="8" w:color="0000FF"/>
            </w:tcBorders>
          </w:tcPr>
          <w:p>
            <w:pPr>
              <w:spacing w:after="0"/>
              <w:rPr>
                <w:sz w:val="23"/>
                <w:szCs w:val="23"/>
                <w:color w:val="auto"/>
              </w:rPr>
            </w:pPr>
          </w:p>
        </w:tc>
        <w:tc>
          <w:tcPr>
            <w:tcW w:w="360" w:type="dxa"/>
            <w:vAlign w:val="bottom"/>
            <w:tcBorders>
              <w:top w:val="single" w:sz="8" w:color="0000FF"/>
            </w:tcBorders>
          </w:tcPr>
          <w:p>
            <w:pPr>
              <w:spacing w:after="0"/>
              <w:rPr>
                <w:sz w:val="23"/>
                <w:szCs w:val="23"/>
                <w:color w:val="auto"/>
              </w:rPr>
            </w:pPr>
          </w:p>
        </w:tc>
        <w:tc>
          <w:tcPr>
            <w:tcW w:w="2060" w:type="dxa"/>
            <w:vAlign w:val="bottom"/>
            <w:tcBorders>
              <w:top w:val="single" w:sz="8" w:color="0000FF"/>
            </w:tcBorders>
          </w:tcPr>
          <w:p>
            <w:pPr>
              <w:spacing w:after="0"/>
              <w:rPr>
                <w:sz w:val="23"/>
                <w:szCs w:val="23"/>
                <w:color w:val="auto"/>
              </w:rPr>
            </w:pPr>
          </w:p>
        </w:tc>
        <w:tc>
          <w:tcPr>
            <w:tcW w:w="980" w:type="dxa"/>
            <w:vAlign w:val="bottom"/>
            <w:tcBorders>
              <w:top w:val="single" w:sz="8" w:color="0000FF"/>
            </w:tcBorders>
          </w:tcPr>
          <w:p>
            <w:pPr>
              <w:spacing w:after="0"/>
              <w:rPr>
                <w:sz w:val="23"/>
                <w:szCs w:val="23"/>
                <w:color w:val="auto"/>
              </w:rPr>
            </w:pPr>
          </w:p>
        </w:tc>
        <w:tc>
          <w:tcPr>
            <w:tcW w:w="124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120" w:type="dxa"/>
            <w:vAlign w:val="bottom"/>
            <w:tcBorders>
              <w:top w:val="single" w:sz="8" w:color="CCEEFF"/>
            </w:tcBorders>
          </w:tcPr>
          <w:p>
            <w:pPr>
              <w:spacing w:after="0"/>
              <w:rPr>
                <w:sz w:val="23"/>
                <w:szCs w:val="23"/>
                <w:color w:val="auto"/>
              </w:rPr>
            </w:pPr>
          </w:p>
        </w:tc>
      </w:tr>
      <w:tr>
        <w:trPr>
          <w:trHeight w:val="199"/>
        </w:trPr>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280" w:type="dxa"/>
            <w:vAlign w:val="bottom"/>
            <w:gridSpan w:val="21"/>
            <w:shd w:val="clear" w:color="auto" w:fill="CCEEFF"/>
          </w:tcPr>
          <w:p>
            <w:pPr>
              <w:ind w:left="200"/>
              <w:spacing w:after="0" w:line="199" w:lineRule="exact"/>
              <w:rPr>
                <w:sz w:val="20"/>
                <w:szCs w:val="20"/>
                <w:color w:val="auto"/>
              </w:rPr>
            </w:pPr>
            <w:r>
              <w:rPr>
                <w:rFonts w:ascii="Times New Roman" w:cs="Times New Roman" w:eastAsia="Times New Roman" w:hAnsi="Times New Roman"/>
                <w:sz w:val="18"/>
                <w:szCs w:val="18"/>
                <w:color w:val="0000FF"/>
                <w:w w:val="98"/>
              </w:rPr>
              <w:t>Condensed Consolidated Statements of Operations and Comprehensive Loss for the three and nine months ended September 30,</w:t>
            </w:r>
          </w:p>
        </w:tc>
        <w:tc>
          <w:tcPr>
            <w:tcW w:w="1120" w:type="dxa"/>
            <w:vAlign w:val="bottom"/>
            <w:shd w:val="clear" w:color="auto" w:fill="CCEEFF"/>
          </w:tcPr>
          <w:p>
            <w:pPr>
              <w:spacing w:after="0"/>
              <w:rPr>
                <w:sz w:val="17"/>
                <w:szCs w:val="17"/>
                <w:color w:val="auto"/>
              </w:rPr>
            </w:pPr>
          </w:p>
        </w:tc>
      </w:tr>
      <w:tr>
        <w:trPr>
          <w:trHeight w:val="238"/>
        </w:trPr>
        <w:tc>
          <w:tcPr>
            <w:tcW w:w="20" w:type="dxa"/>
            <w:vAlign w:val="bottom"/>
            <w:tcBorders>
              <w:top w:val="single" w:sz="8" w:color="CCEEFF"/>
            </w:tcBorders>
            <w:shd w:val="clear" w:color="auto" w:fill="CCEEFF"/>
          </w:tcPr>
          <w:p>
            <w:pPr>
              <w:spacing w:after="0"/>
              <w:rPr>
                <w:sz w:val="20"/>
                <w:szCs w:val="20"/>
                <w:color w:val="auto"/>
              </w:rPr>
            </w:pPr>
          </w:p>
        </w:tc>
        <w:tc>
          <w:tcPr>
            <w:tcW w:w="8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0000FF"/>
            </w:tcBorders>
            <w:shd w:val="clear" w:color="auto" w:fill="CCEEFF"/>
          </w:tcPr>
          <w:p>
            <w:pPr>
              <w:spacing w:after="0"/>
              <w:rPr>
                <w:sz w:val="20"/>
                <w:szCs w:val="20"/>
                <w:color w:val="auto"/>
              </w:rPr>
            </w:pPr>
          </w:p>
        </w:tc>
        <w:tc>
          <w:tcPr>
            <w:tcW w:w="9020" w:type="dxa"/>
            <w:vAlign w:val="bottom"/>
            <w:tcBorders>
              <w:top w:val="single" w:sz="8" w:color="0000FF"/>
            </w:tcBorders>
            <w:gridSpan w:val="19"/>
            <w:shd w:val="clear" w:color="auto" w:fill="CCEEFF"/>
          </w:tcPr>
          <w:p>
            <w:pPr>
              <w:ind w:left="100"/>
              <w:spacing w:after="0" w:line="192" w:lineRule="exact"/>
              <w:rPr>
                <w:sz w:val="20"/>
                <w:szCs w:val="20"/>
                <w:color w:val="auto"/>
              </w:rPr>
            </w:pPr>
            <w:r>
              <w:rPr>
                <w:rFonts w:ascii="Times New Roman" w:cs="Times New Roman" w:eastAsia="Times New Roman" w:hAnsi="Times New Roman"/>
                <w:sz w:val="18"/>
                <w:szCs w:val="18"/>
                <w:color w:val="0000FF"/>
              </w:rPr>
              <w:t>2024 and 2023 (unaudited)</w:t>
            </w:r>
          </w:p>
        </w:tc>
        <w:tc>
          <w:tcPr>
            <w:tcW w:w="1120" w:type="dxa"/>
            <w:vAlign w:val="bottom"/>
            <w:tcBorders>
              <w:top w:val="single" w:sz="8" w:color="CCEEFF"/>
            </w:tcBorders>
            <w:shd w:val="clear" w:color="auto" w:fill="CCEEFF"/>
          </w:tcPr>
          <w:p>
            <w:pPr>
              <w:jc w:val="center"/>
              <w:ind w:left="132"/>
              <w:spacing w:after="0" w:line="192" w:lineRule="exact"/>
              <w:rPr>
                <w:sz w:val="20"/>
                <w:szCs w:val="20"/>
                <w:color w:val="auto"/>
              </w:rPr>
            </w:pPr>
            <w:r>
              <w:rPr>
                <w:rFonts w:ascii="Times New Roman" w:cs="Times New Roman" w:eastAsia="Times New Roman" w:hAnsi="Times New Roman"/>
                <w:sz w:val="18"/>
                <w:szCs w:val="18"/>
                <w:color w:val="auto"/>
              </w:rPr>
              <w:t>3</w:t>
            </w:r>
          </w:p>
        </w:tc>
      </w:tr>
      <w:tr>
        <w:trPr>
          <w:trHeight w:val="265"/>
        </w:trPr>
        <w:tc>
          <w:tcPr>
            <w:tcW w:w="2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60" w:type="dxa"/>
            <w:vAlign w:val="bottom"/>
            <w:tcBorders>
              <w:top w:val="single" w:sz="8" w:color="CCEEFF"/>
            </w:tcBorders>
          </w:tcPr>
          <w:p>
            <w:pPr>
              <w:spacing w:after="0"/>
              <w:rPr>
                <w:sz w:val="23"/>
                <w:szCs w:val="23"/>
                <w:color w:val="auto"/>
              </w:rPr>
            </w:pPr>
          </w:p>
        </w:tc>
        <w:tc>
          <w:tcPr>
            <w:tcW w:w="980" w:type="dxa"/>
            <w:vAlign w:val="bottom"/>
            <w:tcBorders>
              <w:top w:val="single" w:sz="8" w:color="CCEEFF"/>
            </w:tcBorders>
          </w:tcPr>
          <w:p>
            <w:pPr>
              <w:spacing w:after="0"/>
              <w:rPr>
                <w:sz w:val="23"/>
                <w:szCs w:val="23"/>
                <w:color w:val="auto"/>
              </w:rPr>
            </w:pPr>
          </w:p>
        </w:tc>
        <w:tc>
          <w:tcPr>
            <w:tcW w:w="124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120" w:type="dxa"/>
            <w:vAlign w:val="bottom"/>
            <w:tcBorders>
              <w:top w:val="single" w:sz="8" w:color="CCEEFF"/>
            </w:tcBorders>
          </w:tcPr>
          <w:p>
            <w:pPr>
              <w:spacing w:after="0"/>
              <w:rPr>
                <w:sz w:val="23"/>
                <w:szCs w:val="23"/>
                <w:color w:val="auto"/>
              </w:rPr>
            </w:pPr>
          </w:p>
        </w:tc>
      </w:tr>
      <w:tr>
        <w:trPr>
          <w:trHeight w:val="199"/>
        </w:trPr>
        <w:tc>
          <w:tcPr>
            <w:tcW w:w="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020" w:type="dxa"/>
            <w:vAlign w:val="bottom"/>
            <w:tcBorders>
              <w:bottom w:val="single" w:sz="8" w:color="0000FF"/>
            </w:tcBorders>
            <w:gridSpan w:val="19"/>
            <w:shd w:val="clear" w:color="auto" w:fill="CCEEFF"/>
          </w:tcPr>
          <w:p>
            <w:pPr>
              <w:spacing w:after="0" w:line="199" w:lineRule="exact"/>
              <w:rPr>
                <w:sz w:val="20"/>
                <w:szCs w:val="20"/>
                <w:color w:val="auto"/>
              </w:rPr>
            </w:pPr>
            <w:r>
              <w:rPr>
                <w:rFonts w:ascii="Times New Roman" w:cs="Times New Roman" w:eastAsia="Times New Roman" w:hAnsi="Times New Roman"/>
                <w:sz w:val="18"/>
                <w:szCs w:val="18"/>
                <w:color w:val="0000FF"/>
                <w:w w:val="97"/>
              </w:rPr>
              <w:t>Condensed Consolidated Statements of Stockholders’ Equity (Deficit) for the three and nine months ended September 30, 2024</w:t>
            </w:r>
          </w:p>
        </w:tc>
        <w:tc>
          <w:tcPr>
            <w:tcW w:w="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238"/>
        </w:trPr>
        <w:tc>
          <w:tcPr>
            <w:tcW w:w="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020" w:type="dxa"/>
            <w:vAlign w:val="bottom"/>
            <w:gridSpan w:val="19"/>
            <w:shd w:val="clear" w:color="auto" w:fill="CCEEFF"/>
          </w:tcPr>
          <w:p>
            <w:pPr>
              <w:ind w:left="100"/>
              <w:spacing w:after="0" w:line="192" w:lineRule="exact"/>
              <w:rPr>
                <w:sz w:val="20"/>
                <w:szCs w:val="20"/>
                <w:color w:val="auto"/>
              </w:rPr>
            </w:pPr>
            <w:r>
              <w:rPr>
                <w:rFonts w:ascii="Times New Roman" w:cs="Times New Roman" w:eastAsia="Times New Roman" w:hAnsi="Times New Roman"/>
                <w:sz w:val="18"/>
                <w:szCs w:val="18"/>
                <w:color w:val="0000FF"/>
              </w:rPr>
              <w:t>and 2023 (unaudited)</w:t>
            </w:r>
          </w:p>
        </w:tc>
        <w:tc>
          <w:tcPr>
            <w:tcW w:w="1120" w:type="dxa"/>
            <w:vAlign w:val="bottom"/>
            <w:shd w:val="clear" w:color="auto" w:fill="CCEEFF"/>
          </w:tcPr>
          <w:p>
            <w:pPr>
              <w:jc w:val="center"/>
              <w:ind w:left="132"/>
              <w:spacing w:after="0" w:line="192" w:lineRule="exact"/>
              <w:rPr>
                <w:sz w:val="20"/>
                <w:szCs w:val="20"/>
                <w:color w:val="auto"/>
              </w:rPr>
            </w:pPr>
            <w:r>
              <w:rPr>
                <w:rFonts w:ascii="Times New Roman" w:cs="Times New Roman" w:eastAsia="Times New Roman" w:hAnsi="Times New Roman"/>
                <w:sz w:val="18"/>
                <w:szCs w:val="18"/>
                <w:color w:val="auto"/>
              </w:rPr>
              <w:t>4</w:t>
            </w:r>
          </w:p>
        </w:tc>
      </w:tr>
      <w:tr>
        <w:trPr>
          <w:trHeight w:val="265"/>
        </w:trPr>
        <w:tc>
          <w:tcPr>
            <w:tcW w:w="2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60" w:type="dxa"/>
            <w:vAlign w:val="bottom"/>
            <w:tcBorders>
              <w:top w:val="single" w:sz="8" w:color="CCEEFF"/>
            </w:tcBorders>
          </w:tcPr>
          <w:p>
            <w:pPr>
              <w:spacing w:after="0"/>
              <w:rPr>
                <w:sz w:val="23"/>
                <w:szCs w:val="23"/>
                <w:color w:val="auto"/>
              </w:rPr>
            </w:pPr>
          </w:p>
        </w:tc>
        <w:tc>
          <w:tcPr>
            <w:tcW w:w="980" w:type="dxa"/>
            <w:vAlign w:val="bottom"/>
            <w:tcBorders>
              <w:top w:val="single" w:sz="8" w:color="CCEEFF"/>
            </w:tcBorders>
          </w:tcPr>
          <w:p>
            <w:pPr>
              <w:spacing w:after="0"/>
              <w:rPr>
                <w:sz w:val="23"/>
                <w:szCs w:val="23"/>
                <w:color w:val="auto"/>
              </w:rPr>
            </w:pPr>
          </w:p>
        </w:tc>
        <w:tc>
          <w:tcPr>
            <w:tcW w:w="124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120" w:type="dxa"/>
            <w:vAlign w:val="bottom"/>
            <w:tcBorders>
              <w:top w:val="single" w:sz="8" w:color="CCEEFF"/>
            </w:tcBorders>
          </w:tcPr>
          <w:p>
            <w:pPr>
              <w:spacing w:after="0"/>
              <w:rPr>
                <w:sz w:val="23"/>
                <w:szCs w:val="23"/>
                <w:color w:val="auto"/>
              </w:rPr>
            </w:pPr>
          </w:p>
        </w:tc>
      </w:tr>
      <w:tr>
        <w:trPr>
          <w:trHeight w:val="245"/>
        </w:trPr>
        <w:tc>
          <w:tcPr>
            <w:tcW w:w="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9280" w:type="dxa"/>
            <w:vAlign w:val="bottom"/>
            <w:gridSpan w:val="21"/>
            <w:shd w:val="clear" w:color="auto" w:fill="CCEEFF"/>
          </w:tcPr>
          <w:p>
            <w:pPr>
              <w:ind w:left="200"/>
              <w:spacing w:after="0" w:line="199" w:lineRule="exact"/>
              <w:rPr>
                <w:sz w:val="20"/>
                <w:szCs w:val="20"/>
                <w:color w:val="auto"/>
              </w:rPr>
            </w:pPr>
            <w:r>
              <w:rPr>
                <w:rFonts w:ascii="Times New Roman" w:cs="Times New Roman" w:eastAsia="Times New Roman" w:hAnsi="Times New Roman"/>
                <w:sz w:val="18"/>
                <w:szCs w:val="18"/>
                <w:color w:val="0000FF"/>
              </w:rPr>
              <w:t>Condensed Consolidated Statements of Cash Flows for the nine months ended September 30, 2024 and 2023 (unaudited)</w:t>
            </w:r>
          </w:p>
        </w:tc>
        <w:tc>
          <w:tcPr>
            <w:tcW w:w="1120" w:type="dxa"/>
            <w:vAlign w:val="bottom"/>
            <w:shd w:val="clear" w:color="auto" w:fill="CCEEFF"/>
          </w:tcPr>
          <w:p>
            <w:pPr>
              <w:jc w:val="center"/>
              <w:ind w:left="132"/>
              <w:spacing w:after="0" w:line="199" w:lineRule="exact"/>
              <w:rPr>
                <w:sz w:val="20"/>
                <w:szCs w:val="20"/>
                <w:color w:val="auto"/>
              </w:rPr>
            </w:pPr>
            <w:r>
              <w:rPr>
                <w:rFonts w:ascii="Times New Roman" w:cs="Times New Roman" w:eastAsia="Times New Roman" w:hAnsi="Times New Roman"/>
                <w:sz w:val="18"/>
                <w:szCs w:val="18"/>
                <w:color w:val="auto"/>
              </w:rPr>
              <w:t>6</w:t>
            </w:r>
          </w:p>
        </w:tc>
      </w:tr>
      <w:tr>
        <w:trPr>
          <w:trHeight w:val="265"/>
        </w:trPr>
        <w:tc>
          <w:tcPr>
            <w:tcW w:w="2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0" w:type="dxa"/>
            <w:vAlign w:val="bottom"/>
            <w:tcBorders>
              <w:top w:val="single" w:sz="8" w:color="0000FF"/>
            </w:tcBorders>
          </w:tcPr>
          <w:p>
            <w:pPr>
              <w:spacing w:after="0"/>
              <w:rPr>
                <w:sz w:val="23"/>
                <w:szCs w:val="23"/>
                <w:color w:val="auto"/>
              </w:rPr>
            </w:pPr>
          </w:p>
        </w:tc>
        <w:tc>
          <w:tcPr>
            <w:tcW w:w="640" w:type="dxa"/>
            <w:vAlign w:val="bottom"/>
            <w:tcBorders>
              <w:top w:val="single" w:sz="8" w:color="0000FF"/>
            </w:tcBorders>
          </w:tcPr>
          <w:p>
            <w:pPr>
              <w:spacing w:after="0"/>
              <w:rPr>
                <w:sz w:val="23"/>
                <w:szCs w:val="23"/>
                <w:color w:val="auto"/>
              </w:rPr>
            </w:pPr>
          </w:p>
        </w:tc>
        <w:tc>
          <w:tcPr>
            <w:tcW w:w="360" w:type="dxa"/>
            <w:vAlign w:val="bottom"/>
            <w:tcBorders>
              <w:top w:val="single" w:sz="8" w:color="0000FF"/>
            </w:tcBorders>
          </w:tcPr>
          <w:p>
            <w:pPr>
              <w:spacing w:after="0"/>
              <w:rPr>
                <w:sz w:val="23"/>
                <w:szCs w:val="23"/>
                <w:color w:val="auto"/>
              </w:rPr>
            </w:pPr>
          </w:p>
        </w:tc>
        <w:tc>
          <w:tcPr>
            <w:tcW w:w="2060" w:type="dxa"/>
            <w:vAlign w:val="bottom"/>
            <w:tcBorders>
              <w:top w:val="single" w:sz="8" w:color="0000FF"/>
            </w:tcBorders>
          </w:tcPr>
          <w:p>
            <w:pPr>
              <w:spacing w:after="0"/>
              <w:rPr>
                <w:sz w:val="23"/>
                <w:szCs w:val="23"/>
                <w:color w:val="auto"/>
              </w:rPr>
            </w:pPr>
          </w:p>
        </w:tc>
        <w:tc>
          <w:tcPr>
            <w:tcW w:w="980" w:type="dxa"/>
            <w:vAlign w:val="bottom"/>
            <w:tcBorders>
              <w:top w:val="single" w:sz="8" w:color="0000FF"/>
            </w:tcBorders>
          </w:tcPr>
          <w:p>
            <w:pPr>
              <w:spacing w:after="0"/>
              <w:rPr>
                <w:sz w:val="23"/>
                <w:szCs w:val="23"/>
                <w:color w:val="auto"/>
              </w:rPr>
            </w:pPr>
          </w:p>
        </w:tc>
        <w:tc>
          <w:tcPr>
            <w:tcW w:w="1240" w:type="dxa"/>
            <w:vAlign w:val="bottom"/>
            <w:tcBorders>
              <w:top w:val="single" w:sz="8" w:color="0000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120" w:type="dxa"/>
            <w:vAlign w:val="bottom"/>
            <w:tcBorders>
              <w:top w:val="single" w:sz="8" w:color="CCEEFF"/>
            </w:tcBorders>
          </w:tcPr>
          <w:p>
            <w:pPr>
              <w:spacing w:after="0"/>
              <w:rPr>
                <w:sz w:val="23"/>
                <w:szCs w:val="23"/>
                <w:color w:val="auto"/>
              </w:rPr>
            </w:pPr>
          </w:p>
        </w:tc>
      </w:tr>
      <w:tr>
        <w:trPr>
          <w:trHeight w:val="245"/>
        </w:trPr>
        <w:tc>
          <w:tcPr>
            <w:tcW w:w="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9280" w:type="dxa"/>
            <w:vAlign w:val="bottom"/>
            <w:gridSpan w:val="21"/>
            <w:shd w:val="clear" w:color="auto" w:fill="CCEEFF"/>
          </w:tcPr>
          <w:p>
            <w:pPr>
              <w:ind w:left="200"/>
              <w:spacing w:after="0" w:line="199"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120" w:type="dxa"/>
            <w:vAlign w:val="bottom"/>
            <w:shd w:val="clear" w:color="auto" w:fill="CCEEFF"/>
          </w:tcPr>
          <w:p>
            <w:pPr>
              <w:jc w:val="center"/>
              <w:ind w:left="132"/>
              <w:spacing w:after="0" w:line="199" w:lineRule="exact"/>
              <w:rPr>
                <w:sz w:val="20"/>
                <w:szCs w:val="20"/>
                <w:color w:val="auto"/>
              </w:rPr>
            </w:pPr>
            <w:r>
              <w:rPr>
                <w:rFonts w:ascii="Times New Roman" w:cs="Times New Roman" w:eastAsia="Times New Roman" w:hAnsi="Times New Roman"/>
                <w:sz w:val="18"/>
                <w:szCs w:val="18"/>
                <w:color w:val="auto"/>
              </w:rPr>
              <w:t>8</w:t>
            </w:r>
          </w:p>
        </w:tc>
      </w:tr>
      <w:tr>
        <w:trPr>
          <w:trHeight w:val="265"/>
        </w:trPr>
        <w:tc>
          <w:tcPr>
            <w:tcW w:w="2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0" w:type="dxa"/>
            <w:vAlign w:val="bottom"/>
            <w:tcBorders>
              <w:top w:val="single" w:sz="8" w:color="0000FF"/>
            </w:tcBorders>
          </w:tcPr>
          <w:p>
            <w:pPr>
              <w:spacing w:after="0"/>
              <w:rPr>
                <w:sz w:val="23"/>
                <w:szCs w:val="23"/>
                <w:color w:val="auto"/>
              </w:rPr>
            </w:pPr>
          </w:p>
        </w:tc>
        <w:tc>
          <w:tcPr>
            <w:tcW w:w="640" w:type="dxa"/>
            <w:vAlign w:val="bottom"/>
            <w:tcBorders>
              <w:top w:val="single" w:sz="8" w:color="0000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60" w:type="dxa"/>
            <w:vAlign w:val="bottom"/>
            <w:tcBorders>
              <w:top w:val="single" w:sz="8" w:color="CCEEFF"/>
            </w:tcBorders>
          </w:tcPr>
          <w:p>
            <w:pPr>
              <w:spacing w:after="0"/>
              <w:rPr>
                <w:sz w:val="23"/>
                <w:szCs w:val="23"/>
                <w:color w:val="auto"/>
              </w:rPr>
            </w:pPr>
          </w:p>
        </w:tc>
        <w:tc>
          <w:tcPr>
            <w:tcW w:w="980" w:type="dxa"/>
            <w:vAlign w:val="bottom"/>
            <w:tcBorders>
              <w:top w:val="single" w:sz="8" w:color="CCEEFF"/>
            </w:tcBorders>
          </w:tcPr>
          <w:p>
            <w:pPr>
              <w:spacing w:after="0"/>
              <w:rPr>
                <w:sz w:val="23"/>
                <w:szCs w:val="23"/>
                <w:color w:val="auto"/>
              </w:rPr>
            </w:pPr>
          </w:p>
        </w:tc>
        <w:tc>
          <w:tcPr>
            <w:tcW w:w="124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120" w:type="dxa"/>
            <w:vAlign w:val="bottom"/>
            <w:tcBorders>
              <w:top w:val="single" w:sz="8" w:color="CCEEFF"/>
            </w:tcBorders>
          </w:tcPr>
          <w:p>
            <w:pPr>
              <w:spacing w:after="0"/>
              <w:rPr>
                <w:sz w:val="23"/>
                <w:szCs w:val="23"/>
                <w:color w:val="auto"/>
              </w:rPr>
            </w:pPr>
          </w:p>
        </w:tc>
      </w:tr>
      <w:tr>
        <w:trPr>
          <w:trHeight w:val="245"/>
        </w:trPr>
        <w:tc>
          <w:tcPr>
            <w:tcW w:w="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line="199" w:lineRule="exact"/>
              <w:rPr>
                <w:sz w:val="20"/>
                <w:szCs w:val="20"/>
                <w:color w:val="auto"/>
              </w:rPr>
            </w:pPr>
            <w:r>
              <w:rPr>
                <w:rFonts w:ascii="Times New Roman" w:cs="Times New Roman" w:eastAsia="Times New Roman" w:hAnsi="Times New Roman"/>
                <w:sz w:val="18"/>
                <w:szCs w:val="18"/>
                <w:color w:val="auto"/>
              </w:rPr>
              <w:t>Item 2.</w:t>
            </w:r>
          </w:p>
        </w:tc>
        <w:tc>
          <w:tcPr>
            <w:tcW w:w="9280" w:type="dxa"/>
            <w:vAlign w:val="bottom"/>
            <w:gridSpan w:val="21"/>
            <w:shd w:val="clear" w:color="auto" w:fill="CCEEFF"/>
          </w:tcPr>
          <w:p>
            <w:pPr>
              <w:ind w:left="200"/>
              <w:spacing w:after="0" w:line="19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120" w:type="dxa"/>
            <w:vAlign w:val="bottom"/>
            <w:shd w:val="clear" w:color="auto" w:fill="CCEEFF"/>
          </w:tcPr>
          <w:p>
            <w:pPr>
              <w:jc w:val="center"/>
              <w:ind w:left="132"/>
              <w:spacing w:after="0" w:line="199" w:lineRule="exact"/>
              <w:rPr>
                <w:sz w:val="20"/>
                <w:szCs w:val="20"/>
                <w:color w:val="auto"/>
              </w:rPr>
            </w:pPr>
            <w:r>
              <w:rPr>
                <w:rFonts w:ascii="Times New Roman" w:cs="Times New Roman" w:eastAsia="Times New Roman" w:hAnsi="Times New Roman"/>
                <w:sz w:val="18"/>
                <w:szCs w:val="18"/>
                <w:color w:val="auto"/>
                <w:w w:val="99"/>
              </w:rPr>
              <w:t>39</w:t>
            </w:r>
          </w:p>
        </w:tc>
      </w:tr>
      <w:tr>
        <w:trPr>
          <w:trHeight w:val="265"/>
        </w:trPr>
        <w:tc>
          <w:tcPr>
            <w:tcW w:w="2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0" w:type="dxa"/>
            <w:vAlign w:val="bottom"/>
            <w:tcBorders>
              <w:top w:val="single" w:sz="8" w:color="0000FF"/>
            </w:tcBorders>
          </w:tcPr>
          <w:p>
            <w:pPr>
              <w:spacing w:after="0"/>
              <w:rPr>
                <w:sz w:val="23"/>
                <w:szCs w:val="23"/>
                <w:color w:val="auto"/>
              </w:rPr>
            </w:pPr>
          </w:p>
        </w:tc>
        <w:tc>
          <w:tcPr>
            <w:tcW w:w="640" w:type="dxa"/>
            <w:vAlign w:val="bottom"/>
            <w:tcBorders>
              <w:top w:val="single" w:sz="8" w:color="0000FF"/>
            </w:tcBorders>
          </w:tcPr>
          <w:p>
            <w:pPr>
              <w:spacing w:after="0"/>
              <w:rPr>
                <w:sz w:val="23"/>
                <w:szCs w:val="23"/>
                <w:color w:val="auto"/>
              </w:rPr>
            </w:pPr>
          </w:p>
        </w:tc>
        <w:tc>
          <w:tcPr>
            <w:tcW w:w="360" w:type="dxa"/>
            <w:vAlign w:val="bottom"/>
            <w:tcBorders>
              <w:top w:val="single" w:sz="8" w:color="0000FF"/>
            </w:tcBorders>
          </w:tcPr>
          <w:p>
            <w:pPr>
              <w:spacing w:after="0"/>
              <w:rPr>
                <w:sz w:val="23"/>
                <w:szCs w:val="23"/>
                <w:color w:val="auto"/>
              </w:rPr>
            </w:pPr>
          </w:p>
        </w:tc>
        <w:tc>
          <w:tcPr>
            <w:tcW w:w="2060" w:type="dxa"/>
            <w:vAlign w:val="bottom"/>
            <w:tcBorders>
              <w:top w:val="single" w:sz="8" w:color="0000FF"/>
            </w:tcBorders>
          </w:tcPr>
          <w:p>
            <w:pPr>
              <w:spacing w:after="0"/>
              <w:rPr>
                <w:sz w:val="23"/>
                <w:szCs w:val="23"/>
                <w:color w:val="auto"/>
              </w:rPr>
            </w:pPr>
          </w:p>
        </w:tc>
        <w:tc>
          <w:tcPr>
            <w:tcW w:w="980" w:type="dxa"/>
            <w:vAlign w:val="bottom"/>
            <w:tcBorders>
              <w:top w:val="single" w:sz="8" w:color="CCEEFF"/>
            </w:tcBorders>
          </w:tcPr>
          <w:p>
            <w:pPr>
              <w:spacing w:after="0"/>
              <w:rPr>
                <w:sz w:val="23"/>
                <w:szCs w:val="23"/>
                <w:color w:val="auto"/>
              </w:rPr>
            </w:pPr>
          </w:p>
        </w:tc>
        <w:tc>
          <w:tcPr>
            <w:tcW w:w="124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120" w:type="dxa"/>
            <w:vAlign w:val="bottom"/>
            <w:tcBorders>
              <w:top w:val="single" w:sz="8" w:color="CCEEFF"/>
            </w:tcBorders>
          </w:tcPr>
          <w:p>
            <w:pPr>
              <w:spacing w:after="0"/>
              <w:rPr>
                <w:sz w:val="23"/>
                <w:szCs w:val="23"/>
                <w:color w:val="auto"/>
              </w:rPr>
            </w:pPr>
          </w:p>
        </w:tc>
      </w:tr>
      <w:tr>
        <w:trPr>
          <w:trHeight w:val="245"/>
        </w:trPr>
        <w:tc>
          <w:tcPr>
            <w:tcW w:w="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line="199" w:lineRule="exact"/>
              <w:rPr>
                <w:sz w:val="20"/>
                <w:szCs w:val="20"/>
                <w:color w:val="auto"/>
              </w:rPr>
            </w:pPr>
            <w:r>
              <w:rPr>
                <w:rFonts w:ascii="Times New Roman" w:cs="Times New Roman" w:eastAsia="Times New Roman" w:hAnsi="Times New Roman"/>
                <w:sz w:val="18"/>
                <w:szCs w:val="18"/>
                <w:color w:val="auto"/>
              </w:rPr>
              <w:t>Item 3.</w:t>
            </w:r>
          </w:p>
        </w:tc>
        <w:tc>
          <w:tcPr>
            <w:tcW w:w="9280" w:type="dxa"/>
            <w:vAlign w:val="bottom"/>
            <w:gridSpan w:val="21"/>
            <w:shd w:val="clear" w:color="auto" w:fill="CCEEFF"/>
          </w:tcPr>
          <w:p>
            <w:pPr>
              <w:ind w:left="200"/>
              <w:spacing w:after="0" w:line="19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120" w:type="dxa"/>
            <w:vAlign w:val="bottom"/>
            <w:shd w:val="clear" w:color="auto" w:fill="CCEEFF"/>
          </w:tcPr>
          <w:p>
            <w:pPr>
              <w:jc w:val="center"/>
              <w:ind w:left="132"/>
              <w:spacing w:after="0" w:line="199" w:lineRule="exact"/>
              <w:rPr>
                <w:sz w:val="20"/>
                <w:szCs w:val="20"/>
                <w:color w:val="auto"/>
              </w:rPr>
            </w:pPr>
            <w:r>
              <w:rPr>
                <w:rFonts w:ascii="Times New Roman" w:cs="Times New Roman" w:eastAsia="Times New Roman" w:hAnsi="Times New Roman"/>
                <w:sz w:val="18"/>
                <w:szCs w:val="18"/>
                <w:color w:val="auto"/>
                <w:w w:val="99"/>
              </w:rPr>
              <w:t>59</w:t>
            </w:r>
          </w:p>
        </w:tc>
      </w:tr>
      <w:tr>
        <w:trPr>
          <w:trHeight w:val="265"/>
        </w:trPr>
        <w:tc>
          <w:tcPr>
            <w:tcW w:w="2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0" w:type="dxa"/>
            <w:vAlign w:val="bottom"/>
            <w:tcBorders>
              <w:top w:val="single" w:sz="8" w:color="0000FF"/>
            </w:tcBorders>
          </w:tcPr>
          <w:p>
            <w:pPr>
              <w:spacing w:after="0"/>
              <w:rPr>
                <w:sz w:val="23"/>
                <w:szCs w:val="23"/>
                <w:color w:val="auto"/>
              </w:rPr>
            </w:pPr>
          </w:p>
        </w:tc>
        <w:tc>
          <w:tcPr>
            <w:tcW w:w="640" w:type="dxa"/>
            <w:vAlign w:val="bottom"/>
            <w:tcBorders>
              <w:top w:val="single" w:sz="8" w:color="0000FF"/>
            </w:tcBorders>
          </w:tcPr>
          <w:p>
            <w:pPr>
              <w:spacing w:after="0"/>
              <w:rPr>
                <w:sz w:val="23"/>
                <w:szCs w:val="23"/>
                <w:color w:val="auto"/>
              </w:rPr>
            </w:pPr>
          </w:p>
        </w:tc>
        <w:tc>
          <w:tcPr>
            <w:tcW w:w="360" w:type="dxa"/>
            <w:vAlign w:val="bottom"/>
            <w:tcBorders>
              <w:top w:val="single" w:sz="8" w:color="0000FF"/>
            </w:tcBorders>
          </w:tcPr>
          <w:p>
            <w:pPr>
              <w:spacing w:after="0"/>
              <w:rPr>
                <w:sz w:val="23"/>
                <w:szCs w:val="23"/>
                <w:color w:val="auto"/>
              </w:rPr>
            </w:pPr>
          </w:p>
        </w:tc>
        <w:tc>
          <w:tcPr>
            <w:tcW w:w="2060" w:type="dxa"/>
            <w:vAlign w:val="bottom"/>
            <w:tcBorders>
              <w:top w:val="single" w:sz="8" w:color="CCEEFF"/>
            </w:tcBorders>
          </w:tcPr>
          <w:p>
            <w:pPr>
              <w:spacing w:after="0"/>
              <w:rPr>
                <w:sz w:val="23"/>
                <w:szCs w:val="23"/>
                <w:color w:val="auto"/>
              </w:rPr>
            </w:pPr>
          </w:p>
        </w:tc>
        <w:tc>
          <w:tcPr>
            <w:tcW w:w="980" w:type="dxa"/>
            <w:vAlign w:val="bottom"/>
            <w:tcBorders>
              <w:top w:val="single" w:sz="8" w:color="CCEEFF"/>
            </w:tcBorders>
          </w:tcPr>
          <w:p>
            <w:pPr>
              <w:spacing w:after="0"/>
              <w:rPr>
                <w:sz w:val="23"/>
                <w:szCs w:val="23"/>
                <w:color w:val="auto"/>
              </w:rPr>
            </w:pPr>
          </w:p>
        </w:tc>
        <w:tc>
          <w:tcPr>
            <w:tcW w:w="124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120" w:type="dxa"/>
            <w:vAlign w:val="bottom"/>
            <w:tcBorders>
              <w:top w:val="single" w:sz="8" w:color="CCEEFF"/>
            </w:tcBorders>
          </w:tcPr>
          <w:p>
            <w:pPr>
              <w:spacing w:after="0"/>
              <w:rPr>
                <w:sz w:val="23"/>
                <w:szCs w:val="23"/>
                <w:color w:val="auto"/>
              </w:rPr>
            </w:pPr>
          </w:p>
        </w:tc>
      </w:tr>
      <w:tr>
        <w:trPr>
          <w:trHeight w:val="245"/>
        </w:trPr>
        <w:tc>
          <w:tcPr>
            <w:tcW w:w="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line="199" w:lineRule="exact"/>
              <w:rPr>
                <w:sz w:val="20"/>
                <w:szCs w:val="20"/>
                <w:color w:val="auto"/>
              </w:rPr>
            </w:pPr>
            <w:r>
              <w:rPr>
                <w:rFonts w:ascii="Times New Roman" w:cs="Times New Roman" w:eastAsia="Times New Roman" w:hAnsi="Times New Roman"/>
                <w:sz w:val="18"/>
                <w:szCs w:val="18"/>
                <w:color w:val="auto"/>
              </w:rPr>
              <w:t>Item 4.</w:t>
            </w:r>
          </w:p>
        </w:tc>
        <w:tc>
          <w:tcPr>
            <w:tcW w:w="9280" w:type="dxa"/>
            <w:vAlign w:val="bottom"/>
            <w:gridSpan w:val="21"/>
            <w:shd w:val="clear" w:color="auto" w:fill="CCEEFF"/>
          </w:tcPr>
          <w:p>
            <w:pPr>
              <w:ind w:left="200"/>
              <w:spacing w:after="0" w:line="199" w:lineRule="exact"/>
              <w:rPr>
                <w:sz w:val="20"/>
                <w:szCs w:val="20"/>
                <w:color w:val="auto"/>
              </w:rPr>
            </w:pPr>
            <w:r>
              <w:rPr>
                <w:rFonts w:ascii="Times New Roman" w:cs="Times New Roman" w:eastAsia="Times New Roman" w:hAnsi="Times New Roman"/>
                <w:sz w:val="18"/>
                <w:szCs w:val="18"/>
                <w:color w:val="0000FF"/>
              </w:rPr>
              <w:t>Controls and Procedures</w:t>
            </w:r>
          </w:p>
        </w:tc>
        <w:tc>
          <w:tcPr>
            <w:tcW w:w="1120" w:type="dxa"/>
            <w:vAlign w:val="bottom"/>
            <w:shd w:val="clear" w:color="auto" w:fill="CCEEFF"/>
          </w:tcPr>
          <w:p>
            <w:pPr>
              <w:jc w:val="center"/>
              <w:ind w:left="132"/>
              <w:spacing w:after="0" w:line="199" w:lineRule="exact"/>
              <w:rPr>
                <w:sz w:val="20"/>
                <w:szCs w:val="20"/>
                <w:color w:val="auto"/>
              </w:rPr>
            </w:pPr>
            <w:r>
              <w:rPr>
                <w:rFonts w:ascii="Times New Roman" w:cs="Times New Roman" w:eastAsia="Times New Roman" w:hAnsi="Times New Roman"/>
                <w:sz w:val="18"/>
                <w:szCs w:val="18"/>
                <w:color w:val="auto"/>
                <w:w w:val="99"/>
              </w:rPr>
              <w:t>59</w:t>
            </w:r>
          </w:p>
        </w:tc>
      </w:tr>
      <w:tr>
        <w:trPr>
          <w:trHeight w:val="265"/>
        </w:trPr>
        <w:tc>
          <w:tcPr>
            <w:tcW w:w="2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gridSpan w:val="2"/>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60" w:type="dxa"/>
            <w:vAlign w:val="bottom"/>
            <w:tcBorders>
              <w:top w:val="single" w:sz="8" w:color="CCEEFF"/>
            </w:tcBorders>
          </w:tcPr>
          <w:p>
            <w:pPr>
              <w:spacing w:after="0"/>
              <w:rPr>
                <w:sz w:val="23"/>
                <w:szCs w:val="23"/>
                <w:color w:val="auto"/>
              </w:rPr>
            </w:pPr>
          </w:p>
        </w:tc>
        <w:tc>
          <w:tcPr>
            <w:tcW w:w="980" w:type="dxa"/>
            <w:vAlign w:val="bottom"/>
            <w:tcBorders>
              <w:top w:val="single" w:sz="8" w:color="CCEEFF"/>
            </w:tcBorders>
          </w:tcPr>
          <w:p>
            <w:pPr>
              <w:spacing w:after="0"/>
              <w:rPr>
                <w:sz w:val="23"/>
                <w:szCs w:val="23"/>
                <w:color w:val="auto"/>
              </w:rPr>
            </w:pPr>
          </w:p>
        </w:tc>
        <w:tc>
          <w:tcPr>
            <w:tcW w:w="124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120" w:type="dxa"/>
            <w:vAlign w:val="bottom"/>
            <w:tcBorders>
              <w:top w:val="single" w:sz="8" w:color="CCEEFF"/>
            </w:tcBorders>
          </w:tcPr>
          <w:p>
            <w:pPr>
              <w:spacing w:after="0"/>
              <w:rPr>
                <w:sz w:val="23"/>
                <w:szCs w:val="23"/>
                <w:color w:val="auto"/>
              </w:rPr>
            </w:pPr>
          </w:p>
        </w:tc>
      </w:tr>
      <w:tr>
        <w:trPr>
          <w:trHeight w:val="245"/>
        </w:trPr>
        <w:tc>
          <w:tcPr>
            <w:tcW w:w="20" w:type="dxa"/>
            <w:vAlign w:val="bottom"/>
            <w:shd w:val="clear" w:color="auto" w:fill="CCEEFF"/>
          </w:tcPr>
          <w:p>
            <w:pPr>
              <w:spacing w:after="0"/>
              <w:rPr>
                <w:sz w:val="21"/>
                <w:szCs w:val="21"/>
                <w:color w:val="auto"/>
              </w:rPr>
            </w:pPr>
          </w:p>
        </w:tc>
        <w:tc>
          <w:tcPr>
            <w:tcW w:w="10100" w:type="dxa"/>
            <w:vAlign w:val="bottom"/>
            <w:gridSpan w:val="22"/>
            <w:shd w:val="clear" w:color="auto" w:fill="CCEEFF"/>
          </w:tcPr>
          <w:p>
            <w:pPr>
              <w:spacing w:after="0" w:line="199" w:lineRule="exact"/>
              <w:rPr>
                <w:sz w:val="20"/>
                <w:szCs w:val="20"/>
                <w:color w:val="auto"/>
              </w:rPr>
            </w:pPr>
            <w:r>
              <w:rPr>
                <w:rFonts w:ascii="Times New Roman" w:cs="Times New Roman" w:eastAsia="Times New Roman" w:hAnsi="Times New Roman"/>
                <w:sz w:val="18"/>
                <w:szCs w:val="18"/>
                <w:color w:val="0000FF"/>
              </w:rPr>
              <w:t>PART II. OTHER INFORMATION</w:t>
            </w:r>
          </w:p>
        </w:tc>
        <w:tc>
          <w:tcPr>
            <w:tcW w:w="1120" w:type="dxa"/>
            <w:vAlign w:val="bottom"/>
            <w:shd w:val="clear" w:color="auto" w:fill="CCEEFF"/>
          </w:tcPr>
          <w:p>
            <w:pPr>
              <w:jc w:val="center"/>
              <w:ind w:left="132"/>
              <w:spacing w:after="0" w:line="199" w:lineRule="exact"/>
              <w:rPr>
                <w:sz w:val="20"/>
                <w:szCs w:val="20"/>
                <w:color w:val="auto"/>
              </w:rPr>
            </w:pPr>
            <w:r>
              <w:rPr>
                <w:rFonts w:ascii="Times New Roman" w:cs="Times New Roman" w:eastAsia="Times New Roman" w:hAnsi="Times New Roman"/>
                <w:sz w:val="18"/>
                <w:szCs w:val="18"/>
                <w:color w:val="auto"/>
                <w:w w:val="99"/>
              </w:rPr>
              <w:t>62</w:t>
            </w:r>
          </w:p>
        </w:tc>
      </w:tr>
      <w:tr>
        <w:trPr>
          <w:trHeight w:val="265"/>
        </w:trPr>
        <w:tc>
          <w:tcPr>
            <w:tcW w:w="20" w:type="dxa"/>
            <w:vAlign w:val="bottom"/>
            <w:tcBorders>
              <w:top w:val="single" w:sz="8" w:color="CCEEFF"/>
            </w:tcBorders>
          </w:tcPr>
          <w:p>
            <w:pPr>
              <w:spacing w:after="0"/>
              <w:rPr>
                <w:sz w:val="23"/>
                <w:szCs w:val="23"/>
                <w:color w:val="auto"/>
              </w:rPr>
            </w:pPr>
          </w:p>
        </w:tc>
        <w:tc>
          <w:tcPr>
            <w:tcW w:w="8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60" w:type="dxa"/>
            <w:vAlign w:val="bottom"/>
            <w:tcBorders>
              <w:top w:val="single" w:sz="8" w:color="CCEEFF"/>
            </w:tcBorders>
          </w:tcPr>
          <w:p>
            <w:pPr>
              <w:spacing w:after="0"/>
              <w:rPr>
                <w:sz w:val="23"/>
                <w:szCs w:val="23"/>
                <w:color w:val="auto"/>
              </w:rPr>
            </w:pPr>
          </w:p>
        </w:tc>
        <w:tc>
          <w:tcPr>
            <w:tcW w:w="980" w:type="dxa"/>
            <w:vAlign w:val="bottom"/>
            <w:tcBorders>
              <w:top w:val="single" w:sz="8" w:color="CCEEFF"/>
            </w:tcBorders>
          </w:tcPr>
          <w:p>
            <w:pPr>
              <w:spacing w:after="0"/>
              <w:rPr>
                <w:sz w:val="23"/>
                <w:szCs w:val="23"/>
                <w:color w:val="auto"/>
              </w:rPr>
            </w:pPr>
          </w:p>
        </w:tc>
        <w:tc>
          <w:tcPr>
            <w:tcW w:w="124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120" w:type="dxa"/>
            <w:vAlign w:val="bottom"/>
            <w:tcBorders>
              <w:top w:val="single" w:sz="8" w:color="CCEEFF"/>
            </w:tcBorders>
          </w:tcPr>
          <w:p>
            <w:pPr>
              <w:spacing w:after="0"/>
              <w:rPr>
                <w:sz w:val="23"/>
                <w:szCs w:val="23"/>
                <w:color w:val="auto"/>
              </w:rPr>
            </w:pPr>
          </w:p>
        </w:tc>
      </w:tr>
      <w:tr>
        <w:trPr>
          <w:trHeight w:val="245"/>
        </w:trPr>
        <w:tc>
          <w:tcPr>
            <w:tcW w:w="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line="199" w:lineRule="exact"/>
              <w:rPr>
                <w:sz w:val="20"/>
                <w:szCs w:val="20"/>
                <w:color w:val="auto"/>
              </w:rPr>
            </w:pPr>
            <w:r>
              <w:rPr>
                <w:rFonts w:ascii="Times New Roman" w:cs="Times New Roman" w:eastAsia="Times New Roman" w:hAnsi="Times New Roman"/>
                <w:sz w:val="18"/>
                <w:szCs w:val="18"/>
                <w:color w:val="auto"/>
              </w:rPr>
              <w:t>Item 1.</w:t>
            </w:r>
          </w:p>
        </w:tc>
        <w:tc>
          <w:tcPr>
            <w:tcW w:w="9280" w:type="dxa"/>
            <w:vAlign w:val="bottom"/>
            <w:gridSpan w:val="21"/>
            <w:shd w:val="clear" w:color="auto" w:fill="CCEEFF"/>
          </w:tcPr>
          <w:p>
            <w:pPr>
              <w:ind w:left="200"/>
              <w:spacing w:after="0" w:line="199" w:lineRule="exact"/>
              <w:rPr>
                <w:sz w:val="20"/>
                <w:szCs w:val="20"/>
                <w:color w:val="auto"/>
              </w:rPr>
            </w:pPr>
            <w:r>
              <w:rPr>
                <w:rFonts w:ascii="Times New Roman" w:cs="Times New Roman" w:eastAsia="Times New Roman" w:hAnsi="Times New Roman"/>
                <w:sz w:val="18"/>
                <w:szCs w:val="18"/>
                <w:color w:val="0000FF"/>
              </w:rPr>
              <w:t>Legal Proceedings</w:t>
            </w:r>
          </w:p>
        </w:tc>
        <w:tc>
          <w:tcPr>
            <w:tcW w:w="1120" w:type="dxa"/>
            <w:vAlign w:val="bottom"/>
            <w:shd w:val="clear" w:color="auto" w:fill="CCEEFF"/>
          </w:tcPr>
          <w:p>
            <w:pPr>
              <w:jc w:val="center"/>
              <w:ind w:left="132"/>
              <w:spacing w:after="0" w:line="199" w:lineRule="exact"/>
              <w:rPr>
                <w:sz w:val="20"/>
                <w:szCs w:val="20"/>
                <w:color w:val="auto"/>
              </w:rPr>
            </w:pPr>
            <w:r>
              <w:rPr>
                <w:rFonts w:ascii="Times New Roman" w:cs="Times New Roman" w:eastAsia="Times New Roman" w:hAnsi="Times New Roman"/>
                <w:sz w:val="18"/>
                <w:szCs w:val="18"/>
                <w:color w:val="auto"/>
                <w:w w:val="99"/>
              </w:rPr>
              <w:t>62</w:t>
            </w:r>
          </w:p>
        </w:tc>
      </w:tr>
      <w:tr>
        <w:trPr>
          <w:trHeight w:val="265"/>
        </w:trPr>
        <w:tc>
          <w:tcPr>
            <w:tcW w:w="2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60" w:type="dxa"/>
            <w:vAlign w:val="bottom"/>
            <w:tcBorders>
              <w:top w:val="single" w:sz="8" w:color="CCEEFF"/>
            </w:tcBorders>
          </w:tcPr>
          <w:p>
            <w:pPr>
              <w:spacing w:after="0"/>
              <w:rPr>
                <w:sz w:val="23"/>
                <w:szCs w:val="23"/>
                <w:color w:val="auto"/>
              </w:rPr>
            </w:pPr>
          </w:p>
        </w:tc>
        <w:tc>
          <w:tcPr>
            <w:tcW w:w="980" w:type="dxa"/>
            <w:vAlign w:val="bottom"/>
            <w:tcBorders>
              <w:top w:val="single" w:sz="8" w:color="CCEEFF"/>
            </w:tcBorders>
          </w:tcPr>
          <w:p>
            <w:pPr>
              <w:spacing w:after="0"/>
              <w:rPr>
                <w:sz w:val="23"/>
                <w:szCs w:val="23"/>
                <w:color w:val="auto"/>
              </w:rPr>
            </w:pPr>
          </w:p>
        </w:tc>
        <w:tc>
          <w:tcPr>
            <w:tcW w:w="124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120" w:type="dxa"/>
            <w:vAlign w:val="bottom"/>
            <w:tcBorders>
              <w:top w:val="single" w:sz="8" w:color="CCEEFF"/>
            </w:tcBorders>
          </w:tcPr>
          <w:p>
            <w:pPr>
              <w:spacing w:after="0"/>
              <w:rPr>
                <w:sz w:val="23"/>
                <w:szCs w:val="23"/>
                <w:color w:val="auto"/>
              </w:rPr>
            </w:pPr>
          </w:p>
        </w:tc>
      </w:tr>
      <w:tr>
        <w:trPr>
          <w:trHeight w:val="245"/>
        </w:trPr>
        <w:tc>
          <w:tcPr>
            <w:tcW w:w="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line="199" w:lineRule="exact"/>
              <w:rPr>
                <w:sz w:val="20"/>
                <w:szCs w:val="20"/>
                <w:color w:val="auto"/>
              </w:rPr>
            </w:pPr>
            <w:r>
              <w:rPr>
                <w:rFonts w:ascii="Times New Roman" w:cs="Times New Roman" w:eastAsia="Times New Roman" w:hAnsi="Times New Roman"/>
                <w:sz w:val="18"/>
                <w:szCs w:val="18"/>
                <w:color w:val="auto"/>
              </w:rPr>
              <w:t>Item 1A.</w:t>
            </w:r>
          </w:p>
        </w:tc>
        <w:tc>
          <w:tcPr>
            <w:tcW w:w="9280" w:type="dxa"/>
            <w:vAlign w:val="bottom"/>
            <w:gridSpan w:val="21"/>
            <w:shd w:val="clear" w:color="auto" w:fill="CCEEFF"/>
          </w:tcPr>
          <w:p>
            <w:pPr>
              <w:ind w:left="200"/>
              <w:spacing w:after="0" w:line="199" w:lineRule="exact"/>
              <w:rPr>
                <w:sz w:val="20"/>
                <w:szCs w:val="20"/>
                <w:color w:val="auto"/>
              </w:rPr>
            </w:pPr>
            <w:r>
              <w:rPr>
                <w:rFonts w:ascii="Times New Roman" w:cs="Times New Roman" w:eastAsia="Times New Roman" w:hAnsi="Times New Roman"/>
                <w:sz w:val="18"/>
                <w:szCs w:val="18"/>
                <w:color w:val="0000FF"/>
              </w:rPr>
              <w:t>Risk Factors</w:t>
            </w:r>
          </w:p>
        </w:tc>
        <w:tc>
          <w:tcPr>
            <w:tcW w:w="1120" w:type="dxa"/>
            <w:vAlign w:val="bottom"/>
            <w:shd w:val="clear" w:color="auto" w:fill="CCEEFF"/>
          </w:tcPr>
          <w:p>
            <w:pPr>
              <w:jc w:val="center"/>
              <w:ind w:left="132"/>
              <w:spacing w:after="0" w:line="199" w:lineRule="exact"/>
              <w:rPr>
                <w:sz w:val="20"/>
                <w:szCs w:val="20"/>
                <w:color w:val="auto"/>
              </w:rPr>
            </w:pPr>
            <w:r>
              <w:rPr>
                <w:rFonts w:ascii="Times New Roman" w:cs="Times New Roman" w:eastAsia="Times New Roman" w:hAnsi="Times New Roman"/>
                <w:sz w:val="18"/>
                <w:szCs w:val="18"/>
                <w:color w:val="auto"/>
                <w:w w:val="99"/>
              </w:rPr>
              <w:t>62</w:t>
            </w:r>
          </w:p>
        </w:tc>
      </w:tr>
      <w:tr>
        <w:trPr>
          <w:trHeight w:val="265"/>
        </w:trPr>
        <w:tc>
          <w:tcPr>
            <w:tcW w:w="2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60" w:type="dxa"/>
            <w:vAlign w:val="bottom"/>
            <w:tcBorders>
              <w:top w:val="single" w:sz="8" w:color="CCEEFF"/>
            </w:tcBorders>
          </w:tcPr>
          <w:p>
            <w:pPr>
              <w:spacing w:after="0"/>
              <w:rPr>
                <w:sz w:val="23"/>
                <w:szCs w:val="23"/>
                <w:color w:val="auto"/>
              </w:rPr>
            </w:pPr>
          </w:p>
        </w:tc>
        <w:tc>
          <w:tcPr>
            <w:tcW w:w="980" w:type="dxa"/>
            <w:vAlign w:val="bottom"/>
            <w:tcBorders>
              <w:top w:val="single" w:sz="8" w:color="CCEEFF"/>
            </w:tcBorders>
          </w:tcPr>
          <w:p>
            <w:pPr>
              <w:spacing w:after="0"/>
              <w:rPr>
                <w:sz w:val="23"/>
                <w:szCs w:val="23"/>
                <w:color w:val="auto"/>
              </w:rPr>
            </w:pPr>
          </w:p>
        </w:tc>
        <w:tc>
          <w:tcPr>
            <w:tcW w:w="124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120" w:type="dxa"/>
            <w:vAlign w:val="bottom"/>
            <w:tcBorders>
              <w:top w:val="single" w:sz="8" w:color="CCEEFF"/>
            </w:tcBorders>
          </w:tcPr>
          <w:p>
            <w:pPr>
              <w:spacing w:after="0"/>
              <w:rPr>
                <w:sz w:val="23"/>
                <w:szCs w:val="23"/>
                <w:color w:val="auto"/>
              </w:rPr>
            </w:pPr>
          </w:p>
        </w:tc>
      </w:tr>
      <w:tr>
        <w:trPr>
          <w:trHeight w:val="245"/>
        </w:trPr>
        <w:tc>
          <w:tcPr>
            <w:tcW w:w="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line="199" w:lineRule="exact"/>
              <w:rPr>
                <w:sz w:val="20"/>
                <w:szCs w:val="20"/>
                <w:color w:val="auto"/>
              </w:rPr>
            </w:pPr>
            <w:r>
              <w:rPr>
                <w:rFonts w:ascii="Times New Roman" w:cs="Times New Roman" w:eastAsia="Times New Roman" w:hAnsi="Times New Roman"/>
                <w:sz w:val="18"/>
                <w:szCs w:val="18"/>
                <w:color w:val="auto"/>
              </w:rPr>
              <w:t>Item 2.</w:t>
            </w:r>
          </w:p>
        </w:tc>
        <w:tc>
          <w:tcPr>
            <w:tcW w:w="9280" w:type="dxa"/>
            <w:vAlign w:val="bottom"/>
            <w:gridSpan w:val="21"/>
            <w:shd w:val="clear" w:color="auto" w:fill="CCEEFF"/>
          </w:tcPr>
          <w:p>
            <w:pPr>
              <w:ind w:left="200"/>
              <w:spacing w:after="0" w:line="199"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120" w:type="dxa"/>
            <w:vAlign w:val="bottom"/>
            <w:shd w:val="clear" w:color="auto" w:fill="CCEEFF"/>
          </w:tcPr>
          <w:p>
            <w:pPr>
              <w:jc w:val="center"/>
              <w:ind w:left="132"/>
              <w:spacing w:after="0" w:line="199" w:lineRule="exact"/>
              <w:rPr>
                <w:sz w:val="20"/>
                <w:szCs w:val="20"/>
                <w:color w:val="auto"/>
              </w:rPr>
            </w:pPr>
            <w:r>
              <w:rPr>
                <w:rFonts w:ascii="Times New Roman" w:cs="Times New Roman" w:eastAsia="Times New Roman" w:hAnsi="Times New Roman"/>
                <w:sz w:val="18"/>
                <w:szCs w:val="18"/>
                <w:color w:val="auto"/>
                <w:w w:val="99"/>
              </w:rPr>
              <w:t>64</w:t>
            </w:r>
          </w:p>
        </w:tc>
      </w:tr>
      <w:tr>
        <w:trPr>
          <w:trHeight w:val="265"/>
        </w:trPr>
        <w:tc>
          <w:tcPr>
            <w:tcW w:w="2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0" w:type="dxa"/>
            <w:vAlign w:val="bottom"/>
            <w:tcBorders>
              <w:top w:val="single" w:sz="8" w:color="0000FF"/>
            </w:tcBorders>
          </w:tcPr>
          <w:p>
            <w:pPr>
              <w:spacing w:after="0"/>
              <w:rPr>
                <w:sz w:val="23"/>
                <w:szCs w:val="23"/>
                <w:color w:val="auto"/>
              </w:rPr>
            </w:pPr>
          </w:p>
        </w:tc>
        <w:tc>
          <w:tcPr>
            <w:tcW w:w="640" w:type="dxa"/>
            <w:vAlign w:val="bottom"/>
            <w:tcBorders>
              <w:top w:val="single" w:sz="8" w:color="0000FF"/>
            </w:tcBorders>
          </w:tcPr>
          <w:p>
            <w:pPr>
              <w:spacing w:after="0"/>
              <w:rPr>
                <w:sz w:val="23"/>
                <w:szCs w:val="23"/>
                <w:color w:val="auto"/>
              </w:rPr>
            </w:pPr>
          </w:p>
        </w:tc>
        <w:tc>
          <w:tcPr>
            <w:tcW w:w="360" w:type="dxa"/>
            <w:vAlign w:val="bottom"/>
            <w:tcBorders>
              <w:top w:val="single" w:sz="8" w:color="0000FF"/>
            </w:tcBorders>
          </w:tcPr>
          <w:p>
            <w:pPr>
              <w:spacing w:after="0"/>
              <w:rPr>
                <w:sz w:val="23"/>
                <w:szCs w:val="23"/>
                <w:color w:val="auto"/>
              </w:rPr>
            </w:pPr>
          </w:p>
        </w:tc>
        <w:tc>
          <w:tcPr>
            <w:tcW w:w="2060" w:type="dxa"/>
            <w:vAlign w:val="bottom"/>
            <w:tcBorders>
              <w:top w:val="single" w:sz="8" w:color="CCEEFF"/>
            </w:tcBorders>
          </w:tcPr>
          <w:p>
            <w:pPr>
              <w:spacing w:after="0"/>
              <w:rPr>
                <w:sz w:val="23"/>
                <w:szCs w:val="23"/>
                <w:color w:val="auto"/>
              </w:rPr>
            </w:pPr>
          </w:p>
        </w:tc>
        <w:tc>
          <w:tcPr>
            <w:tcW w:w="980" w:type="dxa"/>
            <w:vAlign w:val="bottom"/>
            <w:tcBorders>
              <w:top w:val="single" w:sz="8" w:color="CCEEFF"/>
            </w:tcBorders>
          </w:tcPr>
          <w:p>
            <w:pPr>
              <w:spacing w:after="0"/>
              <w:rPr>
                <w:sz w:val="23"/>
                <w:szCs w:val="23"/>
                <w:color w:val="auto"/>
              </w:rPr>
            </w:pPr>
          </w:p>
        </w:tc>
        <w:tc>
          <w:tcPr>
            <w:tcW w:w="124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120" w:type="dxa"/>
            <w:vAlign w:val="bottom"/>
            <w:tcBorders>
              <w:top w:val="single" w:sz="8" w:color="CCEEFF"/>
            </w:tcBorders>
          </w:tcPr>
          <w:p>
            <w:pPr>
              <w:spacing w:after="0"/>
              <w:rPr>
                <w:sz w:val="23"/>
                <w:szCs w:val="23"/>
                <w:color w:val="auto"/>
              </w:rPr>
            </w:pPr>
          </w:p>
        </w:tc>
      </w:tr>
      <w:tr>
        <w:trPr>
          <w:trHeight w:val="245"/>
        </w:trPr>
        <w:tc>
          <w:tcPr>
            <w:tcW w:w="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line="199" w:lineRule="exact"/>
              <w:rPr>
                <w:sz w:val="20"/>
                <w:szCs w:val="20"/>
                <w:color w:val="auto"/>
              </w:rPr>
            </w:pPr>
            <w:r>
              <w:rPr>
                <w:rFonts w:ascii="Times New Roman" w:cs="Times New Roman" w:eastAsia="Times New Roman" w:hAnsi="Times New Roman"/>
                <w:sz w:val="18"/>
                <w:szCs w:val="18"/>
                <w:color w:val="auto"/>
              </w:rPr>
              <w:t>Item 3.</w:t>
            </w:r>
          </w:p>
        </w:tc>
        <w:tc>
          <w:tcPr>
            <w:tcW w:w="9280" w:type="dxa"/>
            <w:vAlign w:val="bottom"/>
            <w:gridSpan w:val="21"/>
            <w:shd w:val="clear" w:color="auto" w:fill="CCEEFF"/>
          </w:tcPr>
          <w:p>
            <w:pPr>
              <w:ind w:left="200"/>
              <w:spacing w:after="0" w:line="199"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1120" w:type="dxa"/>
            <w:vAlign w:val="bottom"/>
            <w:shd w:val="clear" w:color="auto" w:fill="CCEEFF"/>
          </w:tcPr>
          <w:p>
            <w:pPr>
              <w:jc w:val="center"/>
              <w:ind w:left="132"/>
              <w:spacing w:after="0" w:line="199" w:lineRule="exact"/>
              <w:rPr>
                <w:sz w:val="20"/>
                <w:szCs w:val="20"/>
                <w:color w:val="auto"/>
              </w:rPr>
            </w:pPr>
            <w:r>
              <w:rPr>
                <w:rFonts w:ascii="Times New Roman" w:cs="Times New Roman" w:eastAsia="Times New Roman" w:hAnsi="Times New Roman"/>
                <w:sz w:val="18"/>
                <w:szCs w:val="18"/>
                <w:color w:val="auto"/>
                <w:w w:val="99"/>
              </w:rPr>
              <w:t>64</w:t>
            </w:r>
          </w:p>
        </w:tc>
      </w:tr>
      <w:tr>
        <w:trPr>
          <w:trHeight w:val="265"/>
        </w:trPr>
        <w:tc>
          <w:tcPr>
            <w:tcW w:w="2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60" w:type="dxa"/>
            <w:vAlign w:val="bottom"/>
            <w:tcBorders>
              <w:top w:val="single" w:sz="8" w:color="CCEEFF"/>
            </w:tcBorders>
          </w:tcPr>
          <w:p>
            <w:pPr>
              <w:spacing w:after="0"/>
              <w:rPr>
                <w:sz w:val="23"/>
                <w:szCs w:val="23"/>
                <w:color w:val="auto"/>
              </w:rPr>
            </w:pPr>
          </w:p>
        </w:tc>
        <w:tc>
          <w:tcPr>
            <w:tcW w:w="980" w:type="dxa"/>
            <w:vAlign w:val="bottom"/>
            <w:tcBorders>
              <w:top w:val="single" w:sz="8" w:color="CCEEFF"/>
            </w:tcBorders>
          </w:tcPr>
          <w:p>
            <w:pPr>
              <w:spacing w:after="0"/>
              <w:rPr>
                <w:sz w:val="23"/>
                <w:szCs w:val="23"/>
                <w:color w:val="auto"/>
              </w:rPr>
            </w:pPr>
          </w:p>
        </w:tc>
        <w:tc>
          <w:tcPr>
            <w:tcW w:w="124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120" w:type="dxa"/>
            <w:vAlign w:val="bottom"/>
            <w:tcBorders>
              <w:top w:val="single" w:sz="8" w:color="CCEEFF"/>
            </w:tcBorders>
          </w:tcPr>
          <w:p>
            <w:pPr>
              <w:spacing w:after="0"/>
              <w:rPr>
                <w:sz w:val="23"/>
                <w:szCs w:val="23"/>
                <w:color w:val="auto"/>
              </w:rPr>
            </w:pPr>
          </w:p>
        </w:tc>
      </w:tr>
      <w:tr>
        <w:trPr>
          <w:trHeight w:val="245"/>
        </w:trPr>
        <w:tc>
          <w:tcPr>
            <w:tcW w:w="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line="199" w:lineRule="exact"/>
              <w:rPr>
                <w:sz w:val="20"/>
                <w:szCs w:val="20"/>
                <w:color w:val="auto"/>
              </w:rPr>
            </w:pPr>
            <w:r>
              <w:rPr>
                <w:rFonts w:ascii="Times New Roman" w:cs="Times New Roman" w:eastAsia="Times New Roman" w:hAnsi="Times New Roman"/>
                <w:sz w:val="18"/>
                <w:szCs w:val="18"/>
                <w:color w:val="auto"/>
              </w:rPr>
              <w:t>Item 4.</w:t>
            </w:r>
          </w:p>
        </w:tc>
        <w:tc>
          <w:tcPr>
            <w:tcW w:w="9280" w:type="dxa"/>
            <w:vAlign w:val="bottom"/>
            <w:gridSpan w:val="21"/>
            <w:shd w:val="clear" w:color="auto" w:fill="CCEEFF"/>
          </w:tcPr>
          <w:p>
            <w:pPr>
              <w:ind w:left="200"/>
              <w:spacing w:after="0" w:line="199" w:lineRule="exact"/>
              <w:rPr>
                <w:sz w:val="20"/>
                <w:szCs w:val="20"/>
                <w:color w:val="auto"/>
              </w:rPr>
            </w:pPr>
            <w:r>
              <w:rPr>
                <w:rFonts w:ascii="Times New Roman" w:cs="Times New Roman" w:eastAsia="Times New Roman" w:hAnsi="Times New Roman"/>
                <w:sz w:val="18"/>
                <w:szCs w:val="18"/>
                <w:color w:val="0000FF"/>
              </w:rPr>
              <w:t>Mine Safety Disclosures</w:t>
            </w:r>
          </w:p>
        </w:tc>
        <w:tc>
          <w:tcPr>
            <w:tcW w:w="1120" w:type="dxa"/>
            <w:vAlign w:val="bottom"/>
            <w:shd w:val="clear" w:color="auto" w:fill="CCEEFF"/>
          </w:tcPr>
          <w:p>
            <w:pPr>
              <w:jc w:val="center"/>
              <w:ind w:left="132"/>
              <w:spacing w:after="0" w:line="199" w:lineRule="exact"/>
              <w:rPr>
                <w:sz w:val="20"/>
                <w:szCs w:val="20"/>
                <w:color w:val="auto"/>
              </w:rPr>
            </w:pPr>
            <w:r>
              <w:rPr>
                <w:rFonts w:ascii="Times New Roman" w:cs="Times New Roman" w:eastAsia="Times New Roman" w:hAnsi="Times New Roman"/>
                <w:sz w:val="18"/>
                <w:szCs w:val="18"/>
                <w:color w:val="auto"/>
                <w:w w:val="99"/>
              </w:rPr>
              <w:t>64</w:t>
            </w:r>
          </w:p>
        </w:tc>
      </w:tr>
      <w:tr>
        <w:trPr>
          <w:trHeight w:val="265"/>
        </w:trPr>
        <w:tc>
          <w:tcPr>
            <w:tcW w:w="2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60" w:type="dxa"/>
            <w:vAlign w:val="bottom"/>
            <w:tcBorders>
              <w:top w:val="single" w:sz="8" w:color="CCEEFF"/>
            </w:tcBorders>
          </w:tcPr>
          <w:p>
            <w:pPr>
              <w:spacing w:after="0"/>
              <w:rPr>
                <w:sz w:val="23"/>
                <w:szCs w:val="23"/>
                <w:color w:val="auto"/>
              </w:rPr>
            </w:pPr>
          </w:p>
        </w:tc>
        <w:tc>
          <w:tcPr>
            <w:tcW w:w="980" w:type="dxa"/>
            <w:vAlign w:val="bottom"/>
            <w:tcBorders>
              <w:top w:val="single" w:sz="8" w:color="CCEEFF"/>
            </w:tcBorders>
          </w:tcPr>
          <w:p>
            <w:pPr>
              <w:spacing w:after="0"/>
              <w:rPr>
                <w:sz w:val="23"/>
                <w:szCs w:val="23"/>
                <w:color w:val="auto"/>
              </w:rPr>
            </w:pPr>
          </w:p>
        </w:tc>
        <w:tc>
          <w:tcPr>
            <w:tcW w:w="124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120" w:type="dxa"/>
            <w:vAlign w:val="bottom"/>
            <w:tcBorders>
              <w:top w:val="single" w:sz="8" w:color="CCEEFF"/>
            </w:tcBorders>
          </w:tcPr>
          <w:p>
            <w:pPr>
              <w:spacing w:after="0"/>
              <w:rPr>
                <w:sz w:val="23"/>
                <w:szCs w:val="23"/>
                <w:color w:val="auto"/>
              </w:rPr>
            </w:pPr>
          </w:p>
        </w:tc>
      </w:tr>
      <w:tr>
        <w:trPr>
          <w:trHeight w:val="245"/>
        </w:trPr>
        <w:tc>
          <w:tcPr>
            <w:tcW w:w="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line="199" w:lineRule="exact"/>
              <w:rPr>
                <w:sz w:val="20"/>
                <w:szCs w:val="20"/>
                <w:color w:val="auto"/>
              </w:rPr>
            </w:pPr>
            <w:r>
              <w:rPr>
                <w:rFonts w:ascii="Times New Roman" w:cs="Times New Roman" w:eastAsia="Times New Roman" w:hAnsi="Times New Roman"/>
                <w:sz w:val="18"/>
                <w:szCs w:val="18"/>
                <w:color w:val="auto"/>
              </w:rPr>
              <w:t>Item 5.</w:t>
            </w:r>
          </w:p>
        </w:tc>
        <w:tc>
          <w:tcPr>
            <w:tcW w:w="9280" w:type="dxa"/>
            <w:vAlign w:val="bottom"/>
            <w:gridSpan w:val="21"/>
            <w:shd w:val="clear" w:color="auto" w:fill="CCEEFF"/>
          </w:tcPr>
          <w:p>
            <w:pPr>
              <w:ind w:left="200"/>
              <w:spacing w:after="0" w:line="199" w:lineRule="exact"/>
              <w:rPr>
                <w:sz w:val="20"/>
                <w:szCs w:val="20"/>
                <w:color w:val="auto"/>
              </w:rPr>
            </w:pPr>
            <w:r>
              <w:rPr>
                <w:rFonts w:ascii="Times New Roman" w:cs="Times New Roman" w:eastAsia="Times New Roman" w:hAnsi="Times New Roman"/>
                <w:sz w:val="18"/>
                <w:szCs w:val="18"/>
                <w:color w:val="0000FF"/>
              </w:rPr>
              <w:t>Other Information</w:t>
            </w:r>
          </w:p>
        </w:tc>
        <w:tc>
          <w:tcPr>
            <w:tcW w:w="1120" w:type="dxa"/>
            <w:vAlign w:val="bottom"/>
            <w:shd w:val="clear" w:color="auto" w:fill="CCEEFF"/>
          </w:tcPr>
          <w:p>
            <w:pPr>
              <w:jc w:val="center"/>
              <w:ind w:left="132"/>
              <w:spacing w:after="0" w:line="199" w:lineRule="exact"/>
              <w:rPr>
                <w:sz w:val="20"/>
                <w:szCs w:val="20"/>
                <w:color w:val="auto"/>
              </w:rPr>
            </w:pPr>
            <w:r>
              <w:rPr>
                <w:rFonts w:ascii="Times New Roman" w:cs="Times New Roman" w:eastAsia="Times New Roman" w:hAnsi="Times New Roman"/>
                <w:sz w:val="18"/>
                <w:szCs w:val="18"/>
                <w:color w:val="auto"/>
                <w:w w:val="99"/>
              </w:rPr>
              <w:t>64</w:t>
            </w:r>
          </w:p>
        </w:tc>
      </w:tr>
      <w:tr>
        <w:trPr>
          <w:trHeight w:val="265"/>
        </w:trPr>
        <w:tc>
          <w:tcPr>
            <w:tcW w:w="2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60" w:type="dxa"/>
            <w:vAlign w:val="bottom"/>
            <w:tcBorders>
              <w:top w:val="single" w:sz="8" w:color="CCEEFF"/>
            </w:tcBorders>
          </w:tcPr>
          <w:p>
            <w:pPr>
              <w:spacing w:after="0"/>
              <w:rPr>
                <w:sz w:val="23"/>
                <w:szCs w:val="23"/>
                <w:color w:val="auto"/>
              </w:rPr>
            </w:pPr>
          </w:p>
        </w:tc>
        <w:tc>
          <w:tcPr>
            <w:tcW w:w="980" w:type="dxa"/>
            <w:vAlign w:val="bottom"/>
            <w:tcBorders>
              <w:top w:val="single" w:sz="8" w:color="CCEEFF"/>
            </w:tcBorders>
          </w:tcPr>
          <w:p>
            <w:pPr>
              <w:spacing w:after="0"/>
              <w:rPr>
                <w:sz w:val="23"/>
                <w:szCs w:val="23"/>
                <w:color w:val="auto"/>
              </w:rPr>
            </w:pPr>
          </w:p>
        </w:tc>
        <w:tc>
          <w:tcPr>
            <w:tcW w:w="124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120" w:type="dxa"/>
            <w:vAlign w:val="bottom"/>
            <w:tcBorders>
              <w:top w:val="single" w:sz="8" w:color="CCEEFF"/>
            </w:tcBorders>
          </w:tcPr>
          <w:p>
            <w:pPr>
              <w:spacing w:after="0"/>
              <w:rPr>
                <w:sz w:val="23"/>
                <w:szCs w:val="23"/>
                <w:color w:val="auto"/>
              </w:rPr>
            </w:pPr>
          </w:p>
        </w:tc>
      </w:tr>
      <w:tr>
        <w:trPr>
          <w:trHeight w:val="245"/>
        </w:trPr>
        <w:tc>
          <w:tcPr>
            <w:tcW w:w="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line="199" w:lineRule="exact"/>
              <w:rPr>
                <w:sz w:val="20"/>
                <w:szCs w:val="20"/>
                <w:color w:val="auto"/>
              </w:rPr>
            </w:pPr>
            <w:r>
              <w:rPr>
                <w:rFonts w:ascii="Times New Roman" w:cs="Times New Roman" w:eastAsia="Times New Roman" w:hAnsi="Times New Roman"/>
                <w:sz w:val="18"/>
                <w:szCs w:val="18"/>
                <w:color w:val="auto"/>
              </w:rPr>
              <w:t>Item 6.</w:t>
            </w:r>
          </w:p>
        </w:tc>
        <w:tc>
          <w:tcPr>
            <w:tcW w:w="9280" w:type="dxa"/>
            <w:vAlign w:val="bottom"/>
            <w:gridSpan w:val="21"/>
            <w:shd w:val="clear" w:color="auto" w:fill="CCEEFF"/>
          </w:tcPr>
          <w:p>
            <w:pPr>
              <w:ind w:left="200"/>
              <w:spacing w:after="0" w:line="199" w:lineRule="exact"/>
              <w:rPr>
                <w:sz w:val="20"/>
                <w:szCs w:val="20"/>
                <w:color w:val="auto"/>
              </w:rPr>
            </w:pPr>
            <w:r>
              <w:rPr>
                <w:rFonts w:ascii="Times New Roman" w:cs="Times New Roman" w:eastAsia="Times New Roman" w:hAnsi="Times New Roman"/>
                <w:sz w:val="18"/>
                <w:szCs w:val="18"/>
                <w:color w:val="0000FF"/>
              </w:rPr>
              <w:t>Exhibits</w:t>
            </w:r>
          </w:p>
        </w:tc>
        <w:tc>
          <w:tcPr>
            <w:tcW w:w="1120" w:type="dxa"/>
            <w:vAlign w:val="bottom"/>
            <w:shd w:val="clear" w:color="auto" w:fill="CCEEFF"/>
          </w:tcPr>
          <w:p>
            <w:pPr>
              <w:jc w:val="center"/>
              <w:ind w:left="132"/>
              <w:spacing w:after="0" w:line="199" w:lineRule="exact"/>
              <w:rPr>
                <w:sz w:val="20"/>
                <w:szCs w:val="20"/>
                <w:color w:val="auto"/>
              </w:rPr>
            </w:pPr>
            <w:r>
              <w:rPr>
                <w:rFonts w:ascii="Times New Roman" w:cs="Times New Roman" w:eastAsia="Times New Roman" w:hAnsi="Times New Roman"/>
                <w:sz w:val="18"/>
                <w:szCs w:val="18"/>
                <w:color w:val="auto"/>
                <w:w w:val="99"/>
              </w:rPr>
              <w:t>66</w:t>
            </w:r>
          </w:p>
        </w:tc>
      </w:tr>
      <w:tr>
        <w:trPr>
          <w:trHeight w:val="265"/>
        </w:trPr>
        <w:tc>
          <w:tcPr>
            <w:tcW w:w="2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gridSpan w:val="2"/>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60" w:type="dxa"/>
            <w:vAlign w:val="bottom"/>
            <w:tcBorders>
              <w:top w:val="single" w:sz="8" w:color="CCEEFF"/>
            </w:tcBorders>
          </w:tcPr>
          <w:p>
            <w:pPr>
              <w:spacing w:after="0"/>
              <w:rPr>
                <w:sz w:val="23"/>
                <w:szCs w:val="23"/>
                <w:color w:val="auto"/>
              </w:rPr>
            </w:pPr>
          </w:p>
        </w:tc>
        <w:tc>
          <w:tcPr>
            <w:tcW w:w="980" w:type="dxa"/>
            <w:vAlign w:val="bottom"/>
            <w:tcBorders>
              <w:top w:val="single" w:sz="8" w:color="CCEEFF"/>
            </w:tcBorders>
          </w:tcPr>
          <w:p>
            <w:pPr>
              <w:spacing w:after="0"/>
              <w:rPr>
                <w:sz w:val="23"/>
                <w:szCs w:val="23"/>
                <w:color w:val="auto"/>
              </w:rPr>
            </w:pPr>
          </w:p>
        </w:tc>
        <w:tc>
          <w:tcPr>
            <w:tcW w:w="124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120" w:type="dxa"/>
            <w:vAlign w:val="bottom"/>
            <w:tcBorders>
              <w:top w:val="single" w:sz="8" w:color="CCEEFF"/>
            </w:tcBorders>
          </w:tcPr>
          <w:p>
            <w:pPr>
              <w:spacing w:after="0"/>
              <w:rPr>
                <w:sz w:val="23"/>
                <w:szCs w:val="23"/>
                <w:color w:val="auto"/>
              </w:rPr>
            </w:pPr>
          </w:p>
        </w:tc>
      </w:tr>
      <w:tr>
        <w:trPr>
          <w:trHeight w:val="199"/>
        </w:trPr>
        <w:tc>
          <w:tcPr>
            <w:tcW w:w="20" w:type="dxa"/>
            <w:vAlign w:val="bottom"/>
            <w:shd w:val="clear" w:color="auto" w:fill="CCEEFF"/>
          </w:tcPr>
          <w:p>
            <w:pPr>
              <w:spacing w:after="0"/>
              <w:rPr>
                <w:sz w:val="17"/>
                <w:szCs w:val="17"/>
                <w:color w:val="auto"/>
              </w:rPr>
            </w:pPr>
          </w:p>
        </w:tc>
        <w:tc>
          <w:tcPr>
            <w:tcW w:w="10100" w:type="dxa"/>
            <w:vAlign w:val="bottom"/>
            <w:gridSpan w:val="22"/>
            <w:shd w:val="clear" w:color="auto" w:fill="CCEEFF"/>
          </w:tcPr>
          <w:p>
            <w:pPr>
              <w:spacing w:after="0" w:line="199" w:lineRule="exact"/>
              <w:rPr>
                <w:sz w:val="20"/>
                <w:szCs w:val="20"/>
                <w:color w:val="auto"/>
              </w:rPr>
            </w:pPr>
            <w:r>
              <w:rPr>
                <w:rFonts w:ascii="Times New Roman" w:cs="Times New Roman" w:eastAsia="Times New Roman" w:hAnsi="Times New Roman"/>
                <w:sz w:val="18"/>
                <w:szCs w:val="18"/>
                <w:color w:val="0000FF"/>
              </w:rPr>
              <w:t>SIGNATURES</w:t>
            </w:r>
          </w:p>
        </w:tc>
        <w:tc>
          <w:tcPr>
            <w:tcW w:w="1120" w:type="dxa"/>
            <w:vAlign w:val="bottom"/>
            <w:shd w:val="clear" w:color="auto" w:fill="CCEEFF"/>
          </w:tcPr>
          <w:p>
            <w:pPr>
              <w:jc w:val="center"/>
              <w:ind w:left="132"/>
              <w:spacing w:after="0" w:line="199" w:lineRule="exact"/>
              <w:rPr>
                <w:sz w:val="20"/>
                <w:szCs w:val="20"/>
                <w:color w:val="auto"/>
              </w:rPr>
            </w:pPr>
            <w:r>
              <w:rPr>
                <w:rFonts w:ascii="Times New Roman" w:cs="Times New Roman" w:eastAsia="Times New Roman" w:hAnsi="Times New Roman"/>
                <w:sz w:val="18"/>
                <w:szCs w:val="18"/>
                <w:color w:val="auto"/>
                <w:w w:val="99"/>
              </w:rPr>
              <w:t>67</w:t>
            </w:r>
          </w:p>
        </w:tc>
      </w:tr>
      <w:tr>
        <w:trPr>
          <w:trHeight w:val="46"/>
        </w:trPr>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6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11240"/>
          </w:cols>
          <w:pgMar w:left="320" w:top="331"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98425</wp:posOffset>
            </wp:positionV>
            <wp:extent cx="716026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19"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This Quarterly Report on Form 10-Q (this “report”) of SoundHound AI, Inc. (“we,” “us,” “our,” “SoundHound,” or the “Company”) contains “forward-looking statements” (as defined in Section 27A of the Securities Act of 1933, as amended, and Section 21E of the Securities Exchange Act of 1934, as amended) that reflect our current expectations and views of future events. The forward-looking statements are contained principally in the section of this report entitled “Management’s Discussion and Analysis of Financial Condition and Results of Operations.” You can identify some of these forward-looking statements by words or phrases such as “may,” “will,” “expect,” “anticipate,” “aim,” “estimate,” “intend,” “plan,” “believe,” “is/are likely to,” “potential,” “continue” or other similar expressions. These forward-looking statements include, but are not limited to, statements concerning our expected financial performance, our ability to implement our business strategy and anticipated business and operations, including our ability to integrate the business and operations of our recent acquisitions and improve our Generative AI Foundation Model, expand our customer partnerships and roll out our AI drive thru service, roll out our Dynamic Interaction, Chat AI for Automotive, and expand the number of platforms on which our voice AI technology will be available, the potential utility of and market for our products and services, including our newly acquired products and services, and our ability to achieve revenue from our bookings backlog. We have based these forward-looking statements largely on our current expectations and projections about future events that we believe may affect our financial condition, results of operations, business strategy and financial needs. Although we believe that our expectations expressed in these forward-looking statements are reasonable, our expectations may later be found to be incorrect. Our actual results of operations or the results of other matters that we anticipate herein could be materially different from our expectations. Accordingly, readers are cautioned that significant known and unknown risks, uncertainties and other important factors may cause our actual results, performance or achievements to be materially different from those expressed or implied by the forward-looking statements. Some factors that could cause actual results to differ include:</w:t>
      </w:r>
    </w:p>
    <w:p>
      <w:pPr>
        <w:spacing w:after="0" w:line="196" w:lineRule="exact"/>
        <w:rPr>
          <w:sz w:val="20"/>
          <w:szCs w:val="20"/>
          <w:color w:val="auto"/>
        </w:rPr>
      </w:pPr>
    </w:p>
    <w:p>
      <w:pPr>
        <w:ind w:left="960" w:hanging="318"/>
        <w:spacing w:after="0"/>
        <w:tabs>
          <w:tab w:leader="none" w:pos="9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execute our business strategy, including launching new product offerings and expanding information and technology capabilities;</w:t>
      </w:r>
    </w:p>
    <w:p>
      <w:pPr>
        <w:spacing w:after="0" w:line="228" w:lineRule="exact"/>
        <w:rPr>
          <w:rFonts w:ascii="Times New Roman" w:cs="Times New Roman" w:eastAsia="Times New Roman" w:hAnsi="Times New Roman"/>
          <w:sz w:val="17"/>
          <w:szCs w:val="17"/>
          <w:color w:val="auto"/>
        </w:rPr>
      </w:pPr>
    </w:p>
    <w:p>
      <w:pPr>
        <w:ind w:left="960" w:hanging="318"/>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opportunity and our ability to acquire new customers and retain existing customers;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impact of our growth initiatives on our future financial performance;</w:t>
      </w:r>
    </w:p>
    <w:p>
      <w:pPr>
        <w:spacing w:after="0" w:line="217"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the businesses and operations from our recent acquisitions with our current operations to realize the expected benefits of those acquisitions;</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intellectual property and trade secrets;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capital, as necessary, including equity or debt financing, on terms that are acceptable to us, if at all;</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 and extensive and evolving government regulations that impact our operations and business;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or maintain a qualified workforce;</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of product service failures that could lead our customers to use competitors’ services;</w:t>
      </w:r>
    </w:p>
    <w:p>
      <w:pPr>
        <w:spacing w:after="0" w:line="217"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investigations, claims, disputes, enforcement actions, litigation and/or other regulatory or legal proceedings, including with respect to our AI technology;</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uncertainty of our estimates of market opportunity and forecasts of market growth;</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business, and/or competitive factors; and</w:t>
      </w:r>
    </w:p>
    <w:p>
      <w:pPr>
        <w:spacing w:after="0" w:line="217"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described under the section titled “Risk Factors” herein and in our Annual Report on Form 10-K which was filed with the Securities and Exchange Commission on March 1, 2024.</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You should thoroughly read this report and the documents that we refer to with the understanding that our actual future results may be materially different from, and worse than, what we expect. We qualify all of our forward-looking statements by these cautionary statements.</w:t>
      </w:r>
    </w:p>
    <w:p>
      <w:pPr>
        <w:spacing w:after="0" w:line="16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forward-looking statements made in this report relate only to events or information as of the date of this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report completely and with the understanding that our actual future results may be materially different from what we expect.</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7"/>
          <w:szCs w:val="17"/>
          <w:b w:val="1"/>
          <w:bCs w:val="1"/>
          <w:color w:val="auto"/>
        </w:rPr>
        <w:t>PART I - FINANCIAL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200" w:lineRule="exact"/>
        <w:rPr>
          <w:sz w:val="20"/>
          <w:szCs w:val="20"/>
          <w:color w:val="auto"/>
        </w:rPr>
      </w:pPr>
    </w:p>
    <w:p>
      <w:pPr>
        <w:spacing w:after="0" w:line="3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39"/>
          </w:cols>
          <w:pgMar w:left="320" w:top="331"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8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5"/>
              </w:rPr>
              <w:t>September 30,</w:t>
            </w:r>
          </w:p>
        </w:tc>
        <w:tc>
          <w:tcPr>
            <w:tcW w:w="240" w:type="dxa"/>
            <w:vAlign w:val="bottom"/>
          </w:tcPr>
          <w:p>
            <w:pPr>
              <w:spacing w:after="0"/>
              <w:rPr>
                <w:sz w:val="11"/>
                <w:szCs w:val="11"/>
                <w:color w:val="auto"/>
              </w:rPr>
            </w:pPr>
          </w:p>
        </w:tc>
        <w:tc>
          <w:tcPr>
            <w:tcW w:w="1240" w:type="dxa"/>
            <w:vAlign w:val="bottom"/>
          </w:tcPr>
          <w:p>
            <w:pPr>
              <w:jc w:val="right"/>
              <w:ind w:right="387"/>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40"/>
        </w:trPr>
        <w:tc>
          <w:tcPr>
            <w:tcW w:w="8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center"/>
              <w:ind w:right="187"/>
              <w:spacing w:after="0"/>
              <w:rPr>
                <w:sz w:val="20"/>
                <w:szCs w:val="20"/>
                <w:color w:val="auto"/>
              </w:rPr>
            </w:pPr>
            <w:r>
              <w:rPr>
                <w:rFonts w:ascii="Times New Roman" w:cs="Times New Roman" w:eastAsia="Times New Roman" w:hAnsi="Times New Roman"/>
                <w:sz w:val="11"/>
                <w:szCs w:val="11"/>
                <w:b w:val="1"/>
                <w:bCs w:val="1"/>
                <w:color w:val="auto"/>
                <w:w w:val="90"/>
              </w:rPr>
              <w:t>2024</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right"/>
              <w:ind w:right="587"/>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21"/>
        </w:trPr>
        <w:tc>
          <w:tcPr>
            <w:tcW w:w="8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8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8"/>
              </w:rPr>
              <w:t>(Unaudited)</w:t>
            </w: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8180" w:type="dxa"/>
            <w:vAlign w:val="bottom"/>
            <w:tcBorders>
              <w:bottom w:val="single" w:sz="8" w:color="CCEEFF"/>
            </w:tcBorders>
            <w:shd w:val="clear" w:color="auto" w:fill="CCEEFF"/>
          </w:tcPr>
          <w:p>
            <w:pPr>
              <w:ind w:left="390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8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Current assets:</w:t>
            </w: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81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240" w:type="dxa"/>
            <w:vAlign w:val="bottom"/>
          </w:tcPr>
          <w:p>
            <w:pPr>
              <w:jc w:val="right"/>
              <w:ind w:right="107"/>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135,606</w:t>
            </w:r>
          </w:p>
        </w:tc>
        <w:tc>
          <w:tcPr>
            <w:tcW w:w="100" w:type="dxa"/>
            <w:vAlign w:val="bottom"/>
          </w:tcPr>
          <w:p>
            <w:pPr>
              <w:spacing w:after="0"/>
              <w:rPr>
                <w:sz w:val="13"/>
                <w:szCs w:val="13"/>
                <w:color w:val="auto"/>
              </w:rPr>
            </w:pPr>
          </w:p>
        </w:tc>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95,260</w:t>
            </w:r>
          </w:p>
        </w:tc>
        <w:tc>
          <w:tcPr>
            <w:tcW w:w="0" w:type="dxa"/>
            <w:vAlign w:val="bottom"/>
          </w:tcPr>
          <w:p>
            <w:pPr>
              <w:spacing w:after="0"/>
              <w:rPr>
                <w:sz w:val="1"/>
                <w:szCs w:val="1"/>
                <w:color w:val="auto"/>
              </w:rPr>
            </w:pPr>
          </w:p>
        </w:tc>
      </w:tr>
      <w:tr>
        <w:trPr>
          <w:trHeight w:val="34"/>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Accounts receivable, net of allowances of $1,874 and $203 as of September 30, 2024 and December 31, 2023, respectively</w:t>
            </w: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13,570</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4,050</w:t>
            </w:r>
          </w:p>
        </w:tc>
        <w:tc>
          <w:tcPr>
            <w:tcW w:w="0" w:type="dxa"/>
            <w:vAlign w:val="bottom"/>
          </w:tcPr>
          <w:p>
            <w:pPr>
              <w:spacing w:after="0"/>
              <w:rPr>
                <w:sz w:val="1"/>
                <w:szCs w:val="1"/>
                <w:color w:val="auto"/>
              </w:rPr>
            </w:pPr>
          </w:p>
        </w:tc>
      </w:tr>
      <w:tr>
        <w:trPr>
          <w:trHeight w:val="151"/>
        </w:trPr>
        <w:tc>
          <w:tcPr>
            <w:tcW w:w="81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Contract assets and unbilled receivable, net of allowance for credit losses of $118 and $17 of September 30, 2024 and December 31, 2023, respectively</w:t>
            </w: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24,639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11,780</w:t>
            </w:r>
          </w:p>
        </w:tc>
        <w:tc>
          <w:tcPr>
            <w:tcW w:w="0" w:type="dxa"/>
            <w:vAlign w:val="bottom"/>
          </w:tcPr>
          <w:p>
            <w:pPr>
              <w:spacing w:after="0"/>
              <w:rPr>
                <w:sz w:val="1"/>
                <w:szCs w:val="1"/>
                <w:color w:val="auto"/>
              </w:rPr>
            </w:pPr>
          </w:p>
        </w:tc>
      </w:tr>
      <w:tr>
        <w:trPr>
          <w:trHeight w:val="34"/>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Other current assets</w:t>
            </w: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7,394</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2,452</w:t>
            </w:r>
          </w:p>
        </w:tc>
        <w:tc>
          <w:tcPr>
            <w:tcW w:w="0" w:type="dxa"/>
            <w:vAlign w:val="bottom"/>
          </w:tcPr>
          <w:p>
            <w:pPr>
              <w:spacing w:after="0"/>
              <w:rPr>
                <w:sz w:val="1"/>
                <w:szCs w:val="1"/>
                <w:color w:val="auto"/>
              </w:rPr>
            </w:pPr>
          </w:p>
        </w:tc>
      </w:tr>
      <w:tr>
        <w:trPr>
          <w:trHeight w:val="144"/>
        </w:trPr>
        <w:tc>
          <w:tcPr>
            <w:tcW w:w="818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Total current assets</w:t>
            </w:r>
          </w:p>
        </w:tc>
        <w:tc>
          <w:tcPr>
            <w:tcW w:w="2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181,209</w:t>
            </w: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113,542</w:t>
            </w:r>
          </w:p>
        </w:tc>
        <w:tc>
          <w:tcPr>
            <w:tcW w:w="0" w:type="dxa"/>
            <w:vAlign w:val="bottom"/>
          </w:tcPr>
          <w:p>
            <w:pPr>
              <w:spacing w:after="0"/>
              <w:rPr>
                <w:sz w:val="1"/>
                <w:szCs w:val="1"/>
                <w:color w:val="auto"/>
              </w:rPr>
            </w:pPr>
          </w:p>
        </w:tc>
      </w:tr>
      <w:tr>
        <w:trPr>
          <w:trHeight w:val="34"/>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Restricted cash equivalents, non-current</w:t>
            </w: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811</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13,775</w:t>
            </w:r>
          </w:p>
        </w:tc>
        <w:tc>
          <w:tcPr>
            <w:tcW w:w="0" w:type="dxa"/>
            <w:vAlign w:val="bottom"/>
          </w:tcPr>
          <w:p>
            <w:pPr>
              <w:spacing w:after="0"/>
              <w:rPr>
                <w:sz w:val="1"/>
                <w:szCs w:val="1"/>
                <w:color w:val="auto"/>
              </w:rPr>
            </w:pPr>
          </w:p>
        </w:tc>
      </w:tr>
      <w:tr>
        <w:trPr>
          <w:trHeight w:val="151"/>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Right-of-use assets</w:t>
            </w: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3,860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5,210</w:t>
            </w:r>
          </w:p>
        </w:tc>
        <w:tc>
          <w:tcPr>
            <w:tcW w:w="0" w:type="dxa"/>
            <w:vAlign w:val="bottom"/>
          </w:tcPr>
          <w:p>
            <w:pPr>
              <w:spacing w:after="0"/>
              <w:rPr>
                <w:sz w:val="1"/>
                <w:szCs w:val="1"/>
                <w:color w:val="auto"/>
              </w:rPr>
            </w:pPr>
          </w:p>
        </w:tc>
      </w:tr>
      <w:tr>
        <w:trPr>
          <w:trHeight w:val="34"/>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Property and equipment, net</w:t>
            </w: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1,541</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1,515</w:t>
            </w:r>
          </w:p>
        </w:tc>
        <w:tc>
          <w:tcPr>
            <w:tcW w:w="0" w:type="dxa"/>
            <w:vAlign w:val="bottom"/>
          </w:tcPr>
          <w:p>
            <w:pPr>
              <w:spacing w:after="0"/>
              <w:rPr>
                <w:sz w:val="1"/>
                <w:szCs w:val="1"/>
                <w:color w:val="auto"/>
              </w:rPr>
            </w:pPr>
          </w:p>
        </w:tc>
      </w:tr>
      <w:tr>
        <w:trPr>
          <w:trHeight w:val="151"/>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Goodwill</w:t>
            </w: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111,730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4"/>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Intangible assets, net</w:t>
            </w: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182,579</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1"/>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Deferred tax asset</w:t>
            </w: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11</w:t>
            </w:r>
          </w:p>
        </w:tc>
        <w:tc>
          <w:tcPr>
            <w:tcW w:w="0" w:type="dxa"/>
            <w:vAlign w:val="bottom"/>
          </w:tcPr>
          <w:p>
            <w:pPr>
              <w:spacing w:after="0"/>
              <w:rPr>
                <w:sz w:val="1"/>
                <w:szCs w:val="1"/>
                <w:color w:val="auto"/>
              </w:rPr>
            </w:pPr>
          </w:p>
        </w:tc>
      </w:tr>
      <w:tr>
        <w:trPr>
          <w:trHeight w:val="34"/>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Contract assets and unbilled receivable, non-current, net of allowance for credit losses of $195 and $177 of September 30, 2024 and December 31, 2023, respectively</w:t>
            </w: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14,596</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16,492</w:t>
            </w:r>
          </w:p>
        </w:tc>
        <w:tc>
          <w:tcPr>
            <w:tcW w:w="0" w:type="dxa"/>
            <w:vAlign w:val="bottom"/>
          </w:tcPr>
          <w:p>
            <w:pPr>
              <w:spacing w:after="0"/>
              <w:rPr>
                <w:sz w:val="1"/>
                <w:szCs w:val="1"/>
                <w:color w:val="auto"/>
              </w:rPr>
            </w:pPr>
          </w:p>
        </w:tc>
      </w:tr>
      <w:tr>
        <w:trPr>
          <w:trHeight w:val="151"/>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non-current assets</w:t>
            </w: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3,298</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577</w:t>
            </w:r>
          </w:p>
        </w:tc>
        <w:tc>
          <w:tcPr>
            <w:tcW w:w="0" w:type="dxa"/>
            <w:vAlign w:val="bottom"/>
          </w:tcPr>
          <w:p>
            <w:pPr>
              <w:spacing w:after="0"/>
              <w:rPr>
                <w:sz w:val="1"/>
                <w:szCs w:val="1"/>
                <w:color w:val="auto"/>
              </w:rPr>
            </w:pPr>
          </w:p>
        </w:tc>
      </w:tr>
      <w:tr>
        <w:trPr>
          <w:trHeight w:val="34"/>
        </w:trPr>
        <w:tc>
          <w:tcPr>
            <w:tcW w:w="8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Total assets</w:t>
            </w:r>
          </w:p>
        </w:tc>
        <w:tc>
          <w:tcPr>
            <w:tcW w:w="240" w:type="dxa"/>
            <w:vAlign w:val="bottom"/>
            <w:tcBorders>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499,654</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151,122</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8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8180" w:type="dxa"/>
            <w:vAlign w:val="bottom"/>
            <w:tcBorders>
              <w:bottom w:val="single" w:sz="8" w:color="CCEEFF"/>
            </w:tcBorders>
            <w:shd w:val="clear" w:color="auto" w:fill="CCEEFF"/>
          </w:tcPr>
          <w:p>
            <w:pPr>
              <w:ind w:left="2940"/>
              <w:spacing w:after="0"/>
              <w:rPr>
                <w:sz w:val="20"/>
                <w:szCs w:val="20"/>
                <w:color w:val="auto"/>
              </w:rPr>
            </w:pPr>
            <w:r>
              <w:rPr>
                <w:rFonts w:ascii="Times New Roman" w:cs="Times New Roman" w:eastAsia="Times New Roman" w:hAnsi="Times New Roman"/>
                <w:sz w:val="11"/>
                <w:szCs w:val="11"/>
                <w:b w:val="1"/>
                <w:bCs w:val="1"/>
                <w:color w:val="auto"/>
              </w:rPr>
              <w:t>LIABILITIES AND STOCKHOLDERS’ EQUITY</w:t>
            </w: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Current liabilities:</w:t>
            </w: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Accounts payable</w:t>
            </w:r>
          </w:p>
        </w:tc>
        <w:tc>
          <w:tcPr>
            <w:tcW w:w="240" w:type="dxa"/>
            <w:vAlign w:val="bottom"/>
            <w:tcBorders>
              <w:bottom w:val="single" w:sz="8" w:color="CCEEFF"/>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17,758</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1,653</w:t>
            </w:r>
          </w:p>
        </w:tc>
        <w:tc>
          <w:tcPr>
            <w:tcW w:w="0" w:type="dxa"/>
            <w:vAlign w:val="bottom"/>
          </w:tcPr>
          <w:p>
            <w:pPr>
              <w:spacing w:after="0"/>
              <w:rPr>
                <w:sz w:val="1"/>
                <w:szCs w:val="1"/>
                <w:color w:val="auto"/>
              </w:rPr>
            </w:pPr>
          </w:p>
        </w:tc>
      </w:tr>
      <w:tr>
        <w:trPr>
          <w:trHeight w:val="151"/>
        </w:trPr>
        <w:tc>
          <w:tcPr>
            <w:tcW w:w="81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Accrued liabilities</w:t>
            </w: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22,599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13,884</w:t>
            </w:r>
          </w:p>
        </w:tc>
        <w:tc>
          <w:tcPr>
            <w:tcW w:w="0" w:type="dxa"/>
            <w:vAlign w:val="bottom"/>
          </w:tcPr>
          <w:p>
            <w:pPr>
              <w:spacing w:after="0"/>
              <w:rPr>
                <w:sz w:val="1"/>
                <w:szCs w:val="1"/>
                <w:color w:val="auto"/>
              </w:rPr>
            </w:pPr>
          </w:p>
        </w:tc>
      </w:tr>
      <w:tr>
        <w:trPr>
          <w:trHeight w:val="34"/>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Operating lease liabilities</w:t>
            </w: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1,832</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2,637</w:t>
            </w:r>
          </w:p>
        </w:tc>
        <w:tc>
          <w:tcPr>
            <w:tcW w:w="0" w:type="dxa"/>
            <w:vAlign w:val="bottom"/>
          </w:tcPr>
          <w:p>
            <w:pPr>
              <w:spacing w:after="0"/>
              <w:rPr>
                <w:sz w:val="1"/>
                <w:szCs w:val="1"/>
                <w:color w:val="auto"/>
              </w:rPr>
            </w:pPr>
          </w:p>
        </w:tc>
      </w:tr>
      <w:tr>
        <w:trPr>
          <w:trHeight w:val="151"/>
        </w:trPr>
        <w:tc>
          <w:tcPr>
            <w:tcW w:w="81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Finance lease liabilities</w:t>
            </w: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121</w:t>
            </w:r>
          </w:p>
        </w:tc>
        <w:tc>
          <w:tcPr>
            <w:tcW w:w="0" w:type="dxa"/>
            <w:vAlign w:val="bottom"/>
          </w:tcPr>
          <w:p>
            <w:pPr>
              <w:spacing w:after="0"/>
              <w:rPr>
                <w:sz w:val="1"/>
                <w:szCs w:val="1"/>
                <w:color w:val="auto"/>
              </w:rPr>
            </w:pPr>
          </w:p>
        </w:tc>
      </w:tr>
      <w:tr>
        <w:trPr>
          <w:trHeight w:val="34"/>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Income tax liability</w:t>
            </w: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2,677</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1,618</w:t>
            </w:r>
          </w:p>
        </w:tc>
        <w:tc>
          <w:tcPr>
            <w:tcW w:w="0" w:type="dxa"/>
            <w:vAlign w:val="bottom"/>
          </w:tcPr>
          <w:p>
            <w:pPr>
              <w:spacing w:after="0"/>
              <w:rPr>
                <w:sz w:val="1"/>
                <w:szCs w:val="1"/>
                <w:color w:val="auto"/>
              </w:rPr>
            </w:pPr>
          </w:p>
        </w:tc>
      </w:tr>
      <w:tr>
        <w:trPr>
          <w:trHeight w:val="151"/>
        </w:trPr>
        <w:tc>
          <w:tcPr>
            <w:tcW w:w="81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Deferred revenue</w:t>
            </w: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20,096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4,310</w:t>
            </w:r>
          </w:p>
        </w:tc>
        <w:tc>
          <w:tcPr>
            <w:tcW w:w="0" w:type="dxa"/>
            <w:vAlign w:val="bottom"/>
          </w:tcPr>
          <w:p>
            <w:pPr>
              <w:spacing w:after="0"/>
              <w:rPr>
                <w:sz w:val="1"/>
                <w:szCs w:val="1"/>
                <w:color w:val="auto"/>
              </w:rPr>
            </w:pPr>
          </w:p>
        </w:tc>
      </w:tr>
      <w:tr>
        <w:trPr>
          <w:trHeight w:val="34"/>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8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Other current liabilities</w:t>
            </w: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5,142</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818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Total current liabilities</w:t>
            </w:r>
          </w:p>
        </w:tc>
        <w:tc>
          <w:tcPr>
            <w:tcW w:w="2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70,178</w:t>
            </w: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24,223</w:t>
            </w:r>
          </w:p>
        </w:tc>
        <w:tc>
          <w:tcPr>
            <w:tcW w:w="0" w:type="dxa"/>
            <w:vAlign w:val="bottom"/>
          </w:tcPr>
          <w:p>
            <w:pPr>
              <w:spacing w:after="0"/>
              <w:rPr>
                <w:sz w:val="1"/>
                <w:szCs w:val="1"/>
                <w:color w:val="auto"/>
              </w:rPr>
            </w:pPr>
          </w:p>
        </w:tc>
      </w:tr>
      <w:tr>
        <w:trPr>
          <w:trHeight w:val="34"/>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Operating lease liabilities, net of current portion</w:t>
            </w: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2,241</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3,089</w:t>
            </w:r>
          </w:p>
        </w:tc>
        <w:tc>
          <w:tcPr>
            <w:tcW w:w="0" w:type="dxa"/>
            <w:vAlign w:val="bottom"/>
          </w:tcPr>
          <w:p>
            <w:pPr>
              <w:spacing w:after="0"/>
              <w:rPr>
                <w:sz w:val="1"/>
                <w:szCs w:val="1"/>
                <w:color w:val="auto"/>
              </w:rPr>
            </w:pPr>
          </w:p>
        </w:tc>
      </w:tr>
      <w:tr>
        <w:trPr>
          <w:trHeight w:val="151"/>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Deferred revenue, net of current portion</w:t>
            </w: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7,570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4,910</w:t>
            </w:r>
          </w:p>
        </w:tc>
        <w:tc>
          <w:tcPr>
            <w:tcW w:w="0" w:type="dxa"/>
            <w:vAlign w:val="bottom"/>
          </w:tcPr>
          <w:p>
            <w:pPr>
              <w:spacing w:after="0"/>
              <w:rPr>
                <w:sz w:val="1"/>
                <w:szCs w:val="1"/>
                <w:color w:val="auto"/>
              </w:rPr>
            </w:pPr>
          </w:p>
        </w:tc>
      </w:tr>
      <w:tr>
        <w:trPr>
          <w:trHeight w:val="34"/>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Long-term debt</w:t>
            </w: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39,694</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84,312</w:t>
            </w:r>
          </w:p>
        </w:tc>
        <w:tc>
          <w:tcPr>
            <w:tcW w:w="0" w:type="dxa"/>
            <w:vAlign w:val="bottom"/>
          </w:tcPr>
          <w:p>
            <w:pPr>
              <w:spacing w:after="0"/>
              <w:rPr>
                <w:sz w:val="1"/>
                <w:szCs w:val="1"/>
                <w:color w:val="auto"/>
              </w:rPr>
            </w:pPr>
          </w:p>
        </w:tc>
      </w:tr>
      <w:tr>
        <w:trPr>
          <w:trHeight w:val="151"/>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Contingent acquisition liabilities (Note 17)</w:t>
            </w: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74,450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4"/>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Income tax liability, net of current portion</w:t>
            </w: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5,004</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2,453</w:t>
            </w:r>
          </w:p>
        </w:tc>
        <w:tc>
          <w:tcPr>
            <w:tcW w:w="0" w:type="dxa"/>
            <w:vAlign w:val="bottom"/>
          </w:tcPr>
          <w:p>
            <w:pPr>
              <w:spacing w:after="0"/>
              <w:rPr>
                <w:sz w:val="1"/>
                <w:szCs w:val="1"/>
                <w:color w:val="auto"/>
              </w:rPr>
            </w:pPr>
          </w:p>
        </w:tc>
      </w:tr>
      <w:tr>
        <w:trPr>
          <w:trHeight w:val="151"/>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non-current liabilities</w:t>
            </w: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4,530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3,967</w:t>
            </w:r>
          </w:p>
        </w:tc>
        <w:tc>
          <w:tcPr>
            <w:tcW w:w="0" w:type="dxa"/>
            <w:vAlign w:val="bottom"/>
          </w:tcPr>
          <w:p>
            <w:pPr>
              <w:spacing w:after="0"/>
              <w:rPr>
                <w:sz w:val="1"/>
                <w:szCs w:val="1"/>
                <w:color w:val="auto"/>
              </w:rPr>
            </w:pPr>
          </w:p>
        </w:tc>
      </w:tr>
      <w:tr>
        <w:trPr>
          <w:trHeight w:val="34"/>
        </w:trPr>
        <w:tc>
          <w:tcPr>
            <w:tcW w:w="8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Total liabilities</w:t>
            </w:r>
          </w:p>
        </w:tc>
        <w:tc>
          <w:tcPr>
            <w:tcW w:w="2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203,667</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122,954</w:t>
            </w:r>
          </w:p>
        </w:tc>
        <w:tc>
          <w:tcPr>
            <w:tcW w:w="0" w:type="dxa"/>
            <w:vAlign w:val="bottom"/>
          </w:tcPr>
          <w:p>
            <w:pPr>
              <w:spacing w:after="0"/>
              <w:rPr>
                <w:sz w:val="1"/>
                <w:szCs w:val="1"/>
                <w:color w:val="auto"/>
              </w:rPr>
            </w:pPr>
          </w:p>
        </w:tc>
      </w:tr>
      <w:tr>
        <w:trPr>
          <w:trHeight w:val="131"/>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Commitments and contingencies (Note 7)</w:t>
            </w:r>
          </w:p>
        </w:tc>
        <w:tc>
          <w:tcPr>
            <w:tcW w:w="24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8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Stockholders’ equity:</w:t>
            </w: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Series A Preferred Stock, $0.0001 par value; 1,000,000 shares authorized; 0 and 475,005 shares issued and outstanding, aggregate liquidation preference of $0 and $16,227 as of</w:t>
            </w:r>
          </w:p>
        </w:tc>
        <w:tc>
          <w:tcPr>
            <w:tcW w:w="240" w:type="dxa"/>
            <w:vAlign w:val="bottom"/>
            <w:shd w:val="clear" w:color="auto" w:fill="CCEEFF"/>
          </w:tcPr>
          <w:p>
            <w:pPr>
              <w:spacing w:after="0"/>
              <w:rPr>
                <w:sz w:val="12"/>
                <w:szCs w:val="12"/>
                <w:color w:val="auto"/>
              </w:rPr>
            </w:pPr>
          </w:p>
        </w:tc>
        <w:tc>
          <w:tcPr>
            <w:tcW w:w="1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14,187</w:t>
            </w:r>
          </w:p>
        </w:tc>
        <w:tc>
          <w:tcPr>
            <w:tcW w:w="0" w:type="dxa"/>
            <w:vAlign w:val="bottom"/>
          </w:tcPr>
          <w:p>
            <w:pPr>
              <w:spacing w:after="0"/>
              <w:rPr>
                <w:sz w:val="1"/>
                <w:szCs w:val="1"/>
                <w:color w:val="auto"/>
              </w:rPr>
            </w:pPr>
          </w:p>
        </w:tc>
      </w:tr>
      <w:tr>
        <w:trPr>
          <w:trHeight w:val="139"/>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September 30, 2024 and December 31, 2023, respectively</w:t>
            </w:r>
          </w:p>
        </w:tc>
        <w:tc>
          <w:tcPr>
            <w:tcW w:w="240" w:type="dxa"/>
            <w:vAlign w:val="bottom"/>
            <w:tcBorders>
              <w:bottom w:val="single" w:sz="8" w:color="CCEEFF"/>
            </w:tcBorders>
            <w:shd w:val="clear" w:color="auto" w:fill="CCEEFF"/>
          </w:tcPr>
          <w:p>
            <w:pPr>
              <w:spacing w:after="0"/>
              <w:rPr>
                <w:sz w:val="12"/>
                <w:szCs w:val="12"/>
                <w:color w:val="auto"/>
              </w:rPr>
            </w:pPr>
          </w:p>
        </w:tc>
        <w:tc>
          <w:tcPr>
            <w:tcW w:w="1340" w:type="dxa"/>
            <w:vAlign w:val="bottom"/>
            <w:tcBorders>
              <w:bottom w:val="single" w:sz="8" w:color="CCEEFF"/>
            </w:tcBorders>
            <w:gridSpan w:val="2"/>
            <w:vMerge w:val="continue"/>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180" w:type="dxa"/>
            <w:vAlign w:val="bottom"/>
          </w:tcPr>
          <w:p>
            <w:pPr>
              <w:ind w:left="180"/>
              <w:spacing w:after="0"/>
              <w:rPr>
                <w:sz w:val="20"/>
                <w:szCs w:val="20"/>
                <w:color w:val="auto"/>
              </w:rPr>
            </w:pPr>
            <w:r>
              <w:rPr>
                <w:rFonts w:ascii="Times New Roman" w:cs="Times New Roman" w:eastAsia="Times New Roman" w:hAnsi="Times New Roman"/>
                <w:sz w:val="11"/>
                <w:szCs w:val="11"/>
                <w:color w:val="auto"/>
                <w:w w:val="96"/>
              </w:rPr>
              <w:t>Class A Common Stock, $0.0001 par value; 455,000,000 shares authorized; 336,481,401 and 216,943,349 shares issued and outstanding as of September 30, 2024 and December 31, 2023,</w:t>
            </w:r>
          </w:p>
        </w:tc>
        <w:tc>
          <w:tcPr>
            <w:tcW w:w="24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vMerge w:val="restart"/>
          </w:tcPr>
          <w:p>
            <w:pPr>
              <w:jc w:val="right"/>
              <w:ind w:right="7"/>
              <w:spacing w:after="0"/>
              <w:rPr>
                <w:sz w:val="20"/>
                <w:szCs w:val="20"/>
                <w:color w:val="auto"/>
              </w:rPr>
            </w:pPr>
            <w:r>
              <w:rPr>
                <w:rFonts w:ascii="Times New Roman" w:cs="Times New Roman" w:eastAsia="Times New Roman" w:hAnsi="Times New Roman"/>
                <w:sz w:val="11"/>
                <w:szCs w:val="11"/>
                <w:color w:val="auto"/>
              </w:rPr>
              <w:t>22</w:t>
            </w:r>
          </w:p>
        </w:tc>
        <w:tc>
          <w:tcPr>
            <w:tcW w:w="0" w:type="dxa"/>
            <w:vAlign w:val="bottom"/>
          </w:tcPr>
          <w:p>
            <w:pPr>
              <w:spacing w:after="0"/>
              <w:rPr>
                <w:sz w:val="1"/>
                <w:szCs w:val="1"/>
                <w:color w:val="auto"/>
              </w:rPr>
            </w:pPr>
          </w:p>
        </w:tc>
      </w:tr>
      <w:tr>
        <w:trPr>
          <w:trHeight w:val="138"/>
        </w:trPr>
        <w:tc>
          <w:tcPr>
            <w:tcW w:w="818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respectively</w:t>
            </w:r>
          </w:p>
        </w:tc>
        <w:tc>
          <w:tcPr>
            <w:tcW w:w="2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8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w w:val="98"/>
              </w:rPr>
              <w:t>Class B Common Stock, $0.0001 par value; 44,000,000 shares authorized; 32,735,408 and 37,485,408 shares issued and outstanding as of September 30, 2024 and December 31, 2023,</w:t>
            </w:r>
          </w:p>
        </w:tc>
        <w:tc>
          <w:tcPr>
            <w:tcW w:w="24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4</w:t>
            </w:r>
          </w:p>
        </w:tc>
        <w:tc>
          <w:tcPr>
            <w:tcW w:w="0" w:type="dxa"/>
            <w:vAlign w:val="bottom"/>
          </w:tcPr>
          <w:p>
            <w:pPr>
              <w:spacing w:after="0"/>
              <w:rPr>
                <w:sz w:val="1"/>
                <w:szCs w:val="1"/>
                <w:color w:val="auto"/>
              </w:rPr>
            </w:pPr>
          </w:p>
        </w:tc>
      </w:tr>
      <w:tr>
        <w:trPr>
          <w:trHeight w:val="139"/>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respectively</w:t>
            </w:r>
          </w:p>
        </w:tc>
        <w:tc>
          <w:tcPr>
            <w:tcW w:w="24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81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Additional paid-in capital</w:t>
            </w: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980,150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606,135</w:t>
            </w:r>
          </w:p>
        </w:tc>
        <w:tc>
          <w:tcPr>
            <w:tcW w:w="0" w:type="dxa"/>
            <w:vAlign w:val="bottom"/>
          </w:tcPr>
          <w:p>
            <w:pPr>
              <w:spacing w:after="0"/>
              <w:rPr>
                <w:sz w:val="1"/>
                <w:szCs w:val="1"/>
                <w:color w:val="auto"/>
              </w:rPr>
            </w:pPr>
          </w:p>
        </w:tc>
      </w:tr>
      <w:tr>
        <w:trPr>
          <w:trHeight w:val="34"/>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Accumulated deficit</w:t>
            </w: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(684,461)</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(592,379)</w:t>
            </w:r>
          </w:p>
        </w:tc>
        <w:tc>
          <w:tcPr>
            <w:tcW w:w="0" w:type="dxa"/>
            <w:vAlign w:val="bottom"/>
          </w:tcPr>
          <w:p>
            <w:pPr>
              <w:spacing w:after="0"/>
              <w:rPr>
                <w:sz w:val="1"/>
                <w:szCs w:val="1"/>
                <w:color w:val="auto"/>
              </w:rPr>
            </w:pPr>
          </w:p>
        </w:tc>
      </w:tr>
      <w:tr>
        <w:trPr>
          <w:trHeight w:val="151"/>
        </w:trPr>
        <w:tc>
          <w:tcPr>
            <w:tcW w:w="818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Accumulated other comprehensive income</w:t>
            </w: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262</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199</w:t>
            </w:r>
          </w:p>
        </w:tc>
        <w:tc>
          <w:tcPr>
            <w:tcW w:w="0" w:type="dxa"/>
            <w:vAlign w:val="bottom"/>
          </w:tcPr>
          <w:p>
            <w:pPr>
              <w:spacing w:after="0"/>
              <w:rPr>
                <w:sz w:val="1"/>
                <w:szCs w:val="1"/>
                <w:color w:val="auto"/>
              </w:rPr>
            </w:pPr>
          </w:p>
        </w:tc>
      </w:tr>
      <w:tr>
        <w:trPr>
          <w:trHeight w:val="34"/>
        </w:trPr>
        <w:tc>
          <w:tcPr>
            <w:tcW w:w="8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Total stockholders’ equity</w:t>
            </w:r>
          </w:p>
        </w:tc>
        <w:tc>
          <w:tcPr>
            <w:tcW w:w="2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295,987</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28,168</w:t>
            </w:r>
          </w:p>
        </w:tc>
        <w:tc>
          <w:tcPr>
            <w:tcW w:w="0" w:type="dxa"/>
            <w:vAlign w:val="bottom"/>
          </w:tcPr>
          <w:p>
            <w:pPr>
              <w:spacing w:after="0"/>
              <w:rPr>
                <w:sz w:val="1"/>
                <w:szCs w:val="1"/>
                <w:color w:val="auto"/>
              </w:rPr>
            </w:pPr>
          </w:p>
        </w:tc>
      </w:tr>
      <w:tr>
        <w:trPr>
          <w:trHeight w:val="175"/>
        </w:trPr>
        <w:tc>
          <w:tcPr>
            <w:tcW w:w="818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Total liabilities and stockholders’ equity</w:t>
            </w:r>
          </w:p>
        </w:tc>
        <w:tc>
          <w:tcPr>
            <w:tcW w:w="240" w:type="dxa"/>
            <w:vAlign w:val="bottom"/>
            <w:tcBorders>
              <w:top w:val="single" w:sz="8" w:color="auto"/>
              <w:bottom w:val="single" w:sz="8" w:color="auto"/>
            </w:tcBorders>
          </w:tcPr>
          <w:p>
            <w:pPr>
              <w:jc w:val="right"/>
              <w:ind w:right="107"/>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499,654</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151,122</w:t>
            </w:r>
          </w:p>
        </w:tc>
        <w:tc>
          <w:tcPr>
            <w:tcW w:w="0" w:type="dxa"/>
            <w:vAlign w:val="bottom"/>
          </w:tcPr>
          <w:p>
            <w:pPr>
              <w:spacing w:after="0"/>
              <w:rPr>
                <w:sz w:val="1"/>
                <w:szCs w:val="1"/>
                <w:color w:val="auto"/>
              </w:rPr>
            </w:pPr>
          </w:p>
        </w:tc>
      </w:tr>
      <w:tr>
        <w:trPr>
          <w:trHeight w:val="24"/>
        </w:trPr>
        <w:tc>
          <w:tcPr>
            <w:tcW w:w="8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spacing w:after="0" w:line="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314" w:lineRule="exact"/>
        <w:rPr>
          <w:sz w:val="20"/>
          <w:szCs w:val="20"/>
          <w:color w:val="auto"/>
        </w:rPr>
      </w:pPr>
    </w:p>
    <w:tbl>
      <w:tblPr>
        <w:tblLayout w:type="fixed"/>
        <w:tblInd w:w="80" w:type="dxa"/>
        <w:tblCellMar>
          <w:top w:w="0" w:type="dxa"/>
          <w:left w:w="0" w:type="dxa"/>
          <w:bottom w:w="0" w:type="dxa"/>
          <w:right w:w="0" w:type="dxa"/>
        </w:tblCellMar>
      </w:tblPr>
      <w:tr>
        <w:trPr>
          <w:trHeight w:val="212"/>
        </w:trPr>
        <w:tc>
          <w:tcPr>
            <w:tcW w:w="4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4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8"/>
                <w:szCs w:val="18"/>
                <w:color w:val="auto"/>
              </w:rPr>
            </w:pPr>
          </w:p>
        </w:tc>
        <w:tc>
          <w:tcPr>
            <w:tcW w:w="2760" w:type="dxa"/>
            <w:vAlign w:val="bottom"/>
            <w:gridSpan w:val="4"/>
          </w:tcPr>
          <w:p>
            <w:pPr>
              <w:jc w:val="right"/>
              <w:ind w:right="692"/>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3"/>
        </w:trPr>
        <w:tc>
          <w:tcPr>
            <w:tcW w:w="4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80" w:type="dxa"/>
            <w:vAlign w:val="bottom"/>
          </w:tcPr>
          <w:p>
            <w:pPr>
              <w:spacing w:after="0"/>
              <w:rPr>
                <w:sz w:val="20"/>
                <w:szCs w:val="20"/>
                <w:color w:val="auto"/>
              </w:rPr>
            </w:pPr>
          </w:p>
        </w:tc>
      </w:tr>
      <w:tr>
        <w:trPr>
          <w:trHeight w:val="25"/>
        </w:trPr>
        <w:tc>
          <w:tcPr>
            <w:tcW w:w="48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3"/>
        </w:trPr>
        <w:tc>
          <w:tcPr>
            <w:tcW w:w="4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
        </w:trPr>
        <w:tc>
          <w:tcPr>
            <w:tcW w:w="48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8"/>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25,094</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50,150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28,726</w:t>
            </w:r>
          </w:p>
        </w:tc>
      </w:tr>
      <w:tr>
        <w:trPr>
          <w:trHeight w:val="219"/>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r>
      <w:tr>
        <w:trPr>
          <w:trHeight w:val="26"/>
        </w:trPr>
        <w:tc>
          <w:tcPr>
            <w:tcW w:w="4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5"/>
        </w:trPr>
        <w:tc>
          <w:tcPr>
            <w:tcW w:w="4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7,396</w:t>
            </w:r>
          </w:p>
        </w:tc>
      </w:tr>
      <w:tr>
        <w:trPr>
          <w:trHeight w:val="239"/>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8,363</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19,560</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14,424</w:t>
            </w:r>
          </w:p>
        </w:tc>
      </w:tr>
      <w:tr>
        <w:trPr>
          <w:trHeight w:val="26"/>
        </w:trPr>
        <w:tc>
          <w:tcPr>
            <w:tcW w:w="4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5"/>
        </w:trPr>
        <w:tc>
          <w:tcPr>
            <w:tcW w:w="4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50,161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38,726</w:t>
            </w:r>
          </w:p>
        </w:tc>
      </w:tr>
      <w:tr>
        <w:trPr>
          <w:trHeight w:val="239"/>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17,031</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36,833</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20,644</w:t>
            </w:r>
          </w:p>
        </w:tc>
      </w:tr>
      <w:tr>
        <w:trPr>
          <w:trHeight w:val="26"/>
        </w:trPr>
        <w:tc>
          <w:tcPr>
            <w:tcW w:w="4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5"/>
        </w:trPr>
        <w:tc>
          <w:tcPr>
            <w:tcW w:w="4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acquisition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3,603</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
        </w:trPr>
        <w:tc>
          <w:tcPr>
            <w:tcW w:w="4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65"/>
        </w:trPr>
        <w:tc>
          <w:tcPr>
            <w:tcW w:w="4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3,751</w:t>
            </w:r>
          </w:p>
        </w:tc>
      </w:tr>
      <w:tr>
        <w:trPr>
          <w:trHeight w:val="233"/>
        </w:trPr>
        <w:tc>
          <w:tcPr>
            <w:tcW w:w="4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58,861</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27,798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134,431</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84,941</w:t>
            </w:r>
          </w:p>
        </w:tc>
      </w:tr>
      <w:tr>
        <w:trPr>
          <w:trHeight w:val="26"/>
        </w:trPr>
        <w:tc>
          <w:tcPr>
            <w:tcW w:w="48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8"/>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(33,767)</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(84,281)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(56,215)</w:t>
            </w:r>
          </w:p>
        </w:tc>
      </w:tr>
      <w:tr>
        <w:trPr>
          <w:trHeight w:val="245"/>
        </w:trPr>
        <w:tc>
          <w:tcPr>
            <w:tcW w:w="488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r>
      <w:tr>
        <w:trPr>
          <w:trHeight w:val="245"/>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0"/>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32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w:t>
            </w:r>
          </w:p>
        </w:tc>
      </w:tr>
      <w:tr>
        <w:trPr>
          <w:trHeight w:val="25"/>
        </w:trPr>
        <w:tc>
          <w:tcPr>
            <w:tcW w:w="4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5"/>
        </w:trPr>
        <w:tc>
          <w:tcPr>
            <w:tcW w:w="4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(11,273)</w:t>
            </w:r>
          </w:p>
        </w:tc>
      </w:tr>
      <w:tr>
        <w:trPr>
          <w:trHeight w:val="240"/>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5"/>
        </w:trPr>
        <w:tc>
          <w:tcPr>
            <w:tcW w:w="48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8"/>
        </w:trPr>
        <w:tc>
          <w:tcPr>
            <w:tcW w:w="48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expense, net</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(17,359)</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(12,412)</w:t>
            </w:r>
          </w:p>
        </w:tc>
      </w:tr>
      <w:tr>
        <w:trPr>
          <w:trHeight w:val="23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(32,242)</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(18,636)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(101,640)</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(68,627)</w:t>
            </w:r>
          </w:p>
        </w:tc>
      </w:tr>
      <w:tr>
        <w:trPr>
          <w:trHeight w:val="25"/>
        </w:trPr>
        <w:tc>
          <w:tcPr>
            <w:tcW w:w="4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65"/>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(9,558)</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w:t>
            </w:r>
          </w:p>
        </w:tc>
      </w:tr>
      <w:tr>
        <w:trPr>
          <w:trHeight w:val="23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(21,751)</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(92,082)</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(70,934)</w:t>
            </w:r>
          </w:p>
        </w:tc>
      </w:tr>
      <w:tr>
        <w:trPr>
          <w:trHeight w:val="25"/>
        </w:trPr>
        <w:tc>
          <w:tcPr>
            <w:tcW w:w="4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65"/>
        </w:trPr>
        <w:tc>
          <w:tcPr>
            <w:tcW w:w="4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Cumulative dividends attributable to Series A Preferred Stock</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w:t>
            </w:r>
          </w:p>
        </w:tc>
      </w:tr>
      <w:tr>
        <w:trPr>
          <w:trHeight w:val="258"/>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SoundHound common shareholders</w:t>
            </w: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(21,751)</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(20,844)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(92,498)</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(73,140)</w:t>
            </w: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2"/>
        </w:trPr>
        <w:tc>
          <w:tcPr>
            <w:tcW w:w="48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4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5"/>
        </w:trPr>
        <w:tc>
          <w:tcPr>
            <w:tcW w:w="4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65"/>
        </w:trPr>
        <w:tc>
          <w:tcPr>
            <w:tcW w:w="4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gains on investments</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3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2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(21,694)</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(20,029)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(92,019)</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(70,737)</w:t>
            </w:r>
          </w:p>
        </w:tc>
      </w:tr>
      <w:tr>
        <w:trPr>
          <w:trHeight w:val="25"/>
        </w:trPr>
        <w:tc>
          <w:tcPr>
            <w:tcW w:w="4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65"/>
        </w:trPr>
        <w:tc>
          <w:tcPr>
            <w:tcW w:w="48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4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5"/>
        </w:trPr>
        <w:tc>
          <w:tcPr>
            <w:tcW w:w="4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90"/>
        </w:trPr>
        <w:tc>
          <w:tcPr>
            <w:tcW w:w="4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4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45"/>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65"/>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360,385,812</w:t>
            </w:r>
          </w:p>
        </w:tc>
        <w:tc>
          <w:tcPr>
            <w:tcW w:w="100" w:type="dxa"/>
            <w:vAlign w:val="bottom"/>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242,022,268</w:t>
            </w: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326,166,633</w:t>
            </w:r>
          </w:p>
        </w:tc>
        <w:tc>
          <w:tcPr>
            <w:tcW w:w="100" w:type="dxa"/>
            <w:vAlign w:val="bottom"/>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222,760,880</w:t>
            </w:r>
          </w:p>
        </w:tc>
      </w:tr>
      <w:tr>
        <w:trPr>
          <w:trHeight w:val="20"/>
        </w:trPr>
        <w:tc>
          <w:tcPr>
            <w:tcW w:w="4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331" w:right="3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spacing w:after="0" w:line="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Three Months Ended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30480</wp:posOffset>
            </wp:positionV>
            <wp:extent cx="70504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50405" cy="8255"/>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2900" w:type="dxa"/>
            <w:vAlign w:val="bottom"/>
          </w:tcPr>
          <w:p>
            <w:pPr>
              <w:spacing w:after="0"/>
              <w:rPr>
                <w:sz w:val="12"/>
                <w:szCs w:val="12"/>
                <w:color w:val="auto"/>
              </w:rPr>
            </w:pPr>
          </w:p>
        </w:tc>
        <w:tc>
          <w:tcPr>
            <w:tcW w:w="1520" w:type="dxa"/>
            <w:vAlign w:val="bottom"/>
            <w:gridSpan w:val="6"/>
            <w:vMerge w:val="restart"/>
          </w:tcPr>
          <w:p>
            <w:pPr>
              <w:jc w:val="right"/>
              <w:ind w:right="58"/>
              <w:spacing w:after="0"/>
              <w:rPr>
                <w:sz w:val="20"/>
                <w:szCs w:val="20"/>
                <w:color w:val="auto"/>
              </w:rPr>
            </w:pPr>
            <w:r>
              <w:rPr>
                <w:rFonts w:ascii="Times New Roman" w:cs="Times New Roman" w:eastAsia="Times New Roman" w:hAnsi="Times New Roman"/>
                <w:sz w:val="12"/>
                <w:szCs w:val="12"/>
                <w:b w:val="1"/>
                <w:bCs w:val="1"/>
                <w:color w:val="auto"/>
              </w:rPr>
              <w:t>Series A Preferred Stock</w:t>
            </w:r>
          </w:p>
        </w:tc>
        <w:tc>
          <w:tcPr>
            <w:tcW w:w="80" w:type="dxa"/>
            <w:vAlign w:val="bottom"/>
          </w:tcPr>
          <w:p>
            <w:pPr>
              <w:spacing w:after="0"/>
              <w:rPr>
                <w:sz w:val="12"/>
                <w:szCs w:val="12"/>
                <w:color w:val="auto"/>
              </w:rPr>
            </w:pPr>
          </w:p>
        </w:tc>
        <w:tc>
          <w:tcPr>
            <w:tcW w:w="1620" w:type="dxa"/>
            <w:vAlign w:val="bottom"/>
            <w:gridSpan w:val="5"/>
            <w:vMerge w:val="restart"/>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Class A Common Stock</w:t>
            </w:r>
          </w:p>
        </w:tc>
        <w:tc>
          <w:tcPr>
            <w:tcW w:w="1640" w:type="dxa"/>
            <w:vAlign w:val="bottom"/>
            <w:gridSpan w:val="5"/>
            <w:vMerge w:val="restart"/>
          </w:tcPr>
          <w:p>
            <w:pPr>
              <w:ind w:left="160"/>
              <w:spacing w:after="0"/>
              <w:rPr>
                <w:sz w:val="20"/>
                <w:szCs w:val="20"/>
                <w:color w:val="auto"/>
              </w:rPr>
            </w:pPr>
            <w:r>
              <w:rPr>
                <w:rFonts w:ascii="Times New Roman" w:cs="Times New Roman" w:eastAsia="Times New Roman" w:hAnsi="Times New Roman"/>
                <w:sz w:val="12"/>
                <w:szCs w:val="12"/>
                <w:b w:val="1"/>
                <w:bCs w:val="1"/>
                <w:color w:val="auto"/>
              </w:rPr>
              <w:t>Class B Common Stock</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2900" w:type="dxa"/>
            <w:vAlign w:val="bottom"/>
          </w:tcPr>
          <w:p>
            <w:pPr>
              <w:spacing w:after="0"/>
              <w:rPr>
                <w:sz w:val="8"/>
                <w:szCs w:val="8"/>
                <w:color w:val="auto"/>
              </w:rPr>
            </w:pPr>
          </w:p>
        </w:tc>
        <w:tc>
          <w:tcPr>
            <w:tcW w:w="1520" w:type="dxa"/>
            <w:vAlign w:val="bottom"/>
            <w:gridSpan w:val="6"/>
            <w:vMerge w:val="continue"/>
          </w:tcPr>
          <w:p>
            <w:pPr>
              <w:spacing w:after="0"/>
              <w:rPr>
                <w:sz w:val="8"/>
                <w:szCs w:val="8"/>
                <w:color w:val="auto"/>
              </w:rPr>
            </w:pPr>
          </w:p>
        </w:tc>
        <w:tc>
          <w:tcPr>
            <w:tcW w:w="80" w:type="dxa"/>
            <w:vAlign w:val="bottom"/>
          </w:tcPr>
          <w:p>
            <w:pPr>
              <w:spacing w:after="0"/>
              <w:rPr>
                <w:sz w:val="8"/>
                <w:szCs w:val="8"/>
                <w:color w:val="auto"/>
              </w:rPr>
            </w:pPr>
          </w:p>
        </w:tc>
        <w:tc>
          <w:tcPr>
            <w:tcW w:w="1620" w:type="dxa"/>
            <w:vAlign w:val="bottom"/>
            <w:gridSpan w:val="5"/>
            <w:vMerge w:val="continue"/>
          </w:tcPr>
          <w:p>
            <w:pPr>
              <w:spacing w:after="0"/>
              <w:rPr>
                <w:sz w:val="8"/>
                <w:szCs w:val="8"/>
                <w:color w:val="auto"/>
              </w:rPr>
            </w:pPr>
          </w:p>
        </w:tc>
        <w:tc>
          <w:tcPr>
            <w:tcW w:w="164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2"/>
            <w:vMerge w:val="restart"/>
          </w:tcPr>
          <w:p>
            <w:pPr>
              <w:jc w:val="center"/>
              <w:ind w:right="160"/>
              <w:spacing w:after="0" w:line="106"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gridSpan w:val="2"/>
            <w:vMerge w:val="restart"/>
          </w:tcPr>
          <w:p>
            <w:pPr>
              <w:jc w:val="center"/>
              <w:ind w:right="160"/>
              <w:spacing w:after="0" w:line="106" w:lineRule="exact"/>
              <w:rPr>
                <w:sz w:val="20"/>
                <w:szCs w:val="20"/>
                <w:color w:val="auto"/>
              </w:rPr>
            </w:pPr>
            <w:r>
              <w:rPr>
                <w:rFonts w:ascii="Times New Roman" w:cs="Times New Roman" w:eastAsia="Times New Roman" w:hAnsi="Times New Roman"/>
                <w:sz w:val="12"/>
                <w:szCs w:val="12"/>
                <w:b w:val="1"/>
                <w:bCs w:val="1"/>
                <w:color w:val="auto"/>
              </w:rPr>
              <w:t>Other</w:t>
            </w: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29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2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Paid-in</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Comprehensive</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900" w:type="dxa"/>
            <w:vAlign w:val="bottom"/>
          </w:tcPr>
          <w:p>
            <w:pPr>
              <w:spacing w:after="0"/>
              <w:rPr>
                <w:sz w:val="15"/>
                <w:szCs w:val="15"/>
                <w:color w:val="auto"/>
              </w:rPr>
            </w:pPr>
          </w:p>
        </w:tc>
        <w:tc>
          <w:tcPr>
            <w:tcW w:w="780" w:type="dxa"/>
            <w:vAlign w:val="bottom"/>
            <w:gridSpan w:val="3"/>
          </w:tcPr>
          <w:p>
            <w:pPr>
              <w:ind w:left="18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78"/>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80" w:type="dxa"/>
            <w:vAlign w:val="bottom"/>
          </w:tcPr>
          <w:p>
            <w:pPr>
              <w:spacing w:after="0"/>
              <w:rPr>
                <w:sz w:val="15"/>
                <w:szCs w:val="15"/>
                <w:color w:val="auto"/>
              </w:rPr>
            </w:pPr>
          </w:p>
        </w:tc>
        <w:tc>
          <w:tcPr>
            <w:tcW w:w="82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Pr>
          <w:p>
            <w:pPr>
              <w:spacing w:after="0"/>
              <w:rPr>
                <w:sz w:val="15"/>
                <w:szCs w:val="15"/>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82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80" w:type="dxa"/>
            <w:vAlign w:val="bottom"/>
          </w:tcPr>
          <w:p>
            <w:pPr>
              <w:spacing w:after="0"/>
              <w:rPr>
                <w:sz w:val="15"/>
                <w:szCs w:val="15"/>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4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80" w:type="dxa"/>
            <w:vAlign w:val="bottom"/>
          </w:tcPr>
          <w:p>
            <w:pPr>
              <w:spacing w:after="0"/>
              <w:rPr>
                <w:sz w:val="15"/>
                <w:szCs w:val="15"/>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Income</w:t>
            </w:r>
          </w:p>
        </w:tc>
        <w:tc>
          <w:tcPr>
            <w:tcW w:w="160" w:type="dxa"/>
            <w:vAlign w:val="bottom"/>
          </w:tcPr>
          <w:p>
            <w:pPr>
              <w:spacing w:after="0"/>
              <w:rPr>
                <w:sz w:val="15"/>
                <w:szCs w:val="15"/>
                <w:color w:val="auto"/>
              </w:rPr>
            </w:pPr>
          </w:p>
        </w:tc>
        <w:tc>
          <w:tcPr>
            <w:tcW w:w="560" w:type="dxa"/>
            <w:vAlign w:val="bottom"/>
          </w:tcPr>
          <w:p>
            <w:pPr>
              <w:jc w:val="right"/>
              <w:ind w:right="158"/>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30"/>
        </w:trPr>
        <w:tc>
          <w:tcPr>
            <w:tcW w:w="29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2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 of June 30, 2024</w:t>
            </w:r>
          </w:p>
        </w:tc>
        <w:tc>
          <w:tcPr>
            <w:tcW w:w="780" w:type="dxa"/>
            <w:vAlign w:val="bottom"/>
            <w:tcBorders>
              <w:bottom w:val="single" w:sz="8" w:color="CCEEFF"/>
            </w:tcBorders>
            <w:gridSpan w:val="3"/>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315,153,605</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32,735,408</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886,412</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(662,710)</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205</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223,941</w:t>
            </w:r>
          </w:p>
        </w:tc>
        <w:tc>
          <w:tcPr>
            <w:tcW w:w="0" w:type="dxa"/>
            <w:vAlign w:val="bottom"/>
          </w:tcPr>
          <w:p>
            <w:pPr>
              <w:spacing w:after="0"/>
              <w:rPr>
                <w:sz w:val="1"/>
                <w:szCs w:val="1"/>
                <w:color w:val="auto"/>
              </w:rPr>
            </w:pPr>
          </w:p>
        </w:tc>
      </w:tr>
      <w:tr>
        <w:trPr>
          <w:trHeight w:val="154"/>
        </w:trPr>
        <w:tc>
          <w:tcPr>
            <w:tcW w:w="2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Issuance of Class A common stock under the Equity</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9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Distribution Agreement</w:t>
            </w:r>
          </w:p>
        </w:tc>
        <w:tc>
          <w:tcPr>
            <w:tcW w:w="780" w:type="dxa"/>
            <w:vAlign w:val="bottom"/>
            <w:gridSpan w:val="3"/>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10,465,581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Pr>
          <w:p>
            <w:pPr>
              <w:spacing w:after="0"/>
              <w:rPr>
                <w:sz w:val="13"/>
                <w:szCs w:val="13"/>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48,317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48,318</w:t>
            </w:r>
          </w:p>
        </w:tc>
        <w:tc>
          <w:tcPr>
            <w:tcW w:w="0" w:type="dxa"/>
            <w:vAlign w:val="bottom"/>
          </w:tcPr>
          <w:p>
            <w:pPr>
              <w:spacing w:after="0"/>
              <w:rPr>
                <w:sz w:val="1"/>
                <w:szCs w:val="1"/>
                <w:color w:val="auto"/>
              </w:rPr>
            </w:pPr>
          </w:p>
        </w:tc>
      </w:tr>
      <w:tr>
        <w:trPr>
          <w:trHeight w:val="30"/>
        </w:trPr>
        <w:tc>
          <w:tcPr>
            <w:tcW w:w="2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 of Class A common stock for equity incentive</w:t>
            </w: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awards</w:t>
            </w:r>
          </w:p>
        </w:tc>
        <w:tc>
          <w:tcPr>
            <w:tcW w:w="780" w:type="dxa"/>
            <w:vAlign w:val="bottom"/>
            <w:tcBorders>
              <w:bottom w:val="single" w:sz="8" w:color="CCEEFF"/>
            </w:tcBorders>
            <w:gridSpan w:val="3"/>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1,920,971</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436</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436</w:t>
            </w:r>
          </w:p>
        </w:tc>
        <w:tc>
          <w:tcPr>
            <w:tcW w:w="0" w:type="dxa"/>
            <w:vAlign w:val="bottom"/>
          </w:tcPr>
          <w:p>
            <w:pPr>
              <w:spacing w:after="0"/>
              <w:rPr>
                <w:sz w:val="1"/>
                <w:szCs w:val="1"/>
                <w:color w:val="auto"/>
              </w:rPr>
            </w:pPr>
          </w:p>
        </w:tc>
      </w:tr>
      <w:tr>
        <w:trPr>
          <w:trHeight w:val="154"/>
        </w:trPr>
        <w:tc>
          <w:tcPr>
            <w:tcW w:w="2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Issuance of Class A common stock upon acquisition of</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9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Amelia</w:t>
            </w:r>
          </w:p>
        </w:tc>
        <w:tc>
          <w:tcPr>
            <w:tcW w:w="780" w:type="dxa"/>
            <w:vAlign w:val="bottom"/>
            <w:gridSpan w:val="3"/>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5,959,050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Pr>
          <w:p>
            <w:pPr>
              <w:spacing w:after="0"/>
              <w:rPr>
                <w:sz w:val="13"/>
                <w:szCs w:val="13"/>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23,919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23,920</w:t>
            </w:r>
          </w:p>
        </w:tc>
        <w:tc>
          <w:tcPr>
            <w:tcW w:w="0" w:type="dxa"/>
            <w:vAlign w:val="bottom"/>
          </w:tcPr>
          <w:p>
            <w:pPr>
              <w:spacing w:after="0"/>
              <w:rPr>
                <w:sz w:val="1"/>
                <w:szCs w:val="1"/>
                <w:color w:val="auto"/>
              </w:rPr>
            </w:pPr>
          </w:p>
        </w:tc>
      </w:tr>
      <w:tr>
        <w:trPr>
          <w:trHeight w:val="30"/>
        </w:trPr>
        <w:tc>
          <w:tcPr>
            <w:tcW w:w="2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 of Class A common stock to settle obligations</w:t>
            </w: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under Amelia Debt</w:t>
            </w:r>
          </w:p>
        </w:tc>
        <w:tc>
          <w:tcPr>
            <w:tcW w:w="780" w:type="dxa"/>
            <w:vAlign w:val="bottom"/>
            <w:tcBorders>
              <w:bottom w:val="single" w:sz="8" w:color="CCEEFF"/>
            </w:tcBorders>
            <w:gridSpan w:val="3"/>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2,943,917</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11,817</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11,817</w:t>
            </w:r>
          </w:p>
        </w:tc>
        <w:tc>
          <w:tcPr>
            <w:tcW w:w="0" w:type="dxa"/>
            <w:vAlign w:val="bottom"/>
          </w:tcPr>
          <w:p>
            <w:pPr>
              <w:spacing w:after="0"/>
              <w:rPr>
                <w:sz w:val="1"/>
                <w:szCs w:val="1"/>
                <w:color w:val="auto"/>
              </w:rPr>
            </w:pPr>
          </w:p>
        </w:tc>
      </w:tr>
      <w:tr>
        <w:trPr>
          <w:trHeight w:val="154"/>
        </w:trPr>
        <w:tc>
          <w:tcPr>
            <w:tcW w:w="2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Issuance of Class A common stock in connection with</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9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acquisition of SYNQ3</w:t>
            </w:r>
          </w:p>
        </w:tc>
        <w:tc>
          <w:tcPr>
            <w:tcW w:w="780" w:type="dxa"/>
            <w:vAlign w:val="bottom"/>
            <w:gridSpan w:val="3"/>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38,277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189</w:t>
            </w:r>
          </w:p>
        </w:tc>
        <w:tc>
          <w:tcPr>
            <w:tcW w:w="0" w:type="dxa"/>
            <w:vAlign w:val="bottom"/>
          </w:tcPr>
          <w:p>
            <w:pPr>
              <w:spacing w:after="0"/>
              <w:rPr>
                <w:sz w:val="1"/>
                <w:szCs w:val="1"/>
                <w:color w:val="auto"/>
              </w:rPr>
            </w:pPr>
          </w:p>
        </w:tc>
      </w:tr>
      <w:tr>
        <w:trPr>
          <w:trHeight w:val="30"/>
        </w:trPr>
        <w:tc>
          <w:tcPr>
            <w:tcW w:w="2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2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780" w:type="dxa"/>
            <w:vAlign w:val="bottom"/>
            <w:tcBorders>
              <w:bottom w:val="single" w:sz="8" w:color="CCEEFF"/>
            </w:tcBorders>
            <w:gridSpan w:val="3"/>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9,060</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9,060</w:t>
            </w:r>
          </w:p>
        </w:tc>
        <w:tc>
          <w:tcPr>
            <w:tcW w:w="0" w:type="dxa"/>
            <w:vAlign w:val="bottom"/>
          </w:tcPr>
          <w:p>
            <w:pPr>
              <w:spacing w:after="0"/>
              <w:rPr>
                <w:sz w:val="1"/>
                <w:szCs w:val="1"/>
                <w:color w:val="auto"/>
              </w:rPr>
            </w:pPr>
          </w:p>
        </w:tc>
      </w:tr>
      <w:tr>
        <w:trPr>
          <w:trHeight w:val="168"/>
        </w:trPr>
        <w:tc>
          <w:tcPr>
            <w:tcW w:w="2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780" w:type="dxa"/>
            <w:vAlign w:val="bottom"/>
            <w:gridSpan w:val="3"/>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(21,751)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(21,751)</w:t>
            </w:r>
          </w:p>
        </w:tc>
        <w:tc>
          <w:tcPr>
            <w:tcW w:w="0" w:type="dxa"/>
            <w:vAlign w:val="bottom"/>
          </w:tcPr>
          <w:p>
            <w:pPr>
              <w:spacing w:after="0"/>
              <w:rPr>
                <w:sz w:val="1"/>
                <w:szCs w:val="1"/>
                <w:color w:val="auto"/>
              </w:rPr>
            </w:pPr>
          </w:p>
        </w:tc>
      </w:tr>
      <w:tr>
        <w:trPr>
          <w:trHeight w:val="30"/>
        </w:trPr>
        <w:tc>
          <w:tcPr>
            <w:tcW w:w="2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 comprehensive income</w:t>
            </w:r>
          </w:p>
        </w:tc>
        <w:tc>
          <w:tcPr>
            <w:tcW w:w="780" w:type="dxa"/>
            <w:vAlign w:val="bottom"/>
            <w:tcBorders>
              <w:bottom w:val="single" w:sz="8" w:color="CCEEFF"/>
            </w:tcBorders>
            <w:gridSpan w:val="3"/>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0" w:type="dxa"/>
            <w:vAlign w:val="bottom"/>
          </w:tcPr>
          <w:p>
            <w:pPr>
              <w:spacing w:after="0"/>
              <w:rPr>
                <w:sz w:val="1"/>
                <w:szCs w:val="1"/>
                <w:color w:val="auto"/>
              </w:rPr>
            </w:pPr>
          </w:p>
        </w:tc>
      </w:tr>
      <w:tr>
        <w:trPr>
          <w:trHeight w:val="162"/>
        </w:trPr>
        <w:tc>
          <w:tcPr>
            <w:tcW w:w="29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Balances as of September 30, 2024</w:t>
            </w:r>
          </w:p>
        </w:tc>
        <w:tc>
          <w:tcPr>
            <w:tcW w:w="70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gridSpan w:val="2"/>
          </w:tcPr>
          <w:p>
            <w:pPr>
              <w:spacing w:after="0"/>
              <w:rPr>
                <w:sz w:val="14"/>
                <w:szCs w:val="14"/>
                <w:color w:val="auto"/>
              </w:rPr>
            </w:pPr>
          </w:p>
        </w:tc>
        <w:tc>
          <w:tcPr>
            <w:tcW w:w="12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336,481,401</w:t>
            </w:r>
          </w:p>
        </w:tc>
        <w:tc>
          <w:tcPr>
            <w:tcW w:w="8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80" w:type="dxa"/>
            <w:vAlign w:val="bottom"/>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32,735,408</w:t>
            </w:r>
          </w:p>
        </w:tc>
        <w:tc>
          <w:tcPr>
            <w:tcW w:w="8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8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980,150</w:t>
            </w:r>
          </w:p>
        </w:tc>
        <w:tc>
          <w:tcPr>
            <w:tcW w:w="80" w:type="dxa"/>
            <w:vAlign w:val="bottom"/>
          </w:tcPr>
          <w:p>
            <w:pPr>
              <w:spacing w:after="0"/>
              <w:rPr>
                <w:sz w:val="14"/>
                <w:szCs w:val="14"/>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(684,461)</w:t>
            </w:r>
          </w:p>
        </w:tc>
        <w:tc>
          <w:tcPr>
            <w:tcW w:w="80" w:type="dxa"/>
            <w:vAlign w:val="bottom"/>
          </w:tcPr>
          <w:p>
            <w:pPr>
              <w:spacing w:after="0"/>
              <w:rPr>
                <w:sz w:val="14"/>
                <w:szCs w:val="14"/>
                <w:color w:val="auto"/>
              </w:rPr>
            </w:pPr>
          </w:p>
        </w:tc>
        <w:tc>
          <w:tcPr>
            <w:tcW w:w="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262</w:t>
            </w:r>
          </w:p>
        </w:tc>
        <w:tc>
          <w:tcPr>
            <w:tcW w:w="80" w:type="dxa"/>
            <w:vAlign w:val="bottom"/>
          </w:tcPr>
          <w:p>
            <w:pPr>
              <w:spacing w:after="0"/>
              <w:rPr>
                <w:sz w:val="14"/>
                <w:szCs w:val="14"/>
                <w:color w:val="auto"/>
              </w:rPr>
            </w:pPr>
          </w:p>
        </w:tc>
        <w:tc>
          <w:tcPr>
            <w:tcW w:w="16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295,987</w:t>
            </w:r>
          </w:p>
        </w:tc>
        <w:tc>
          <w:tcPr>
            <w:tcW w:w="0" w:type="dxa"/>
            <w:vAlign w:val="bottom"/>
          </w:tcPr>
          <w:p>
            <w:pPr>
              <w:spacing w:after="0"/>
              <w:rPr>
                <w:sz w:val="1"/>
                <w:szCs w:val="1"/>
                <w:color w:val="auto"/>
              </w:rPr>
            </w:pPr>
          </w:p>
        </w:tc>
      </w:tr>
      <w:tr>
        <w:trPr>
          <w:trHeight w:val="30"/>
        </w:trPr>
        <w:tc>
          <w:tcPr>
            <w:tcW w:w="29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520" w:type="dxa"/>
            <w:vAlign w:val="bottom"/>
            <w:gridSpan w:val="8"/>
          </w:tcPr>
          <w:p>
            <w:pPr>
              <w:ind w:left="40"/>
              <w:spacing w:after="0"/>
              <w:rPr>
                <w:sz w:val="20"/>
                <w:szCs w:val="20"/>
                <w:color w:val="auto"/>
              </w:rPr>
            </w:pPr>
            <w:r>
              <w:rPr>
                <w:rFonts w:ascii="Times New Roman" w:cs="Times New Roman" w:eastAsia="Times New Roman" w:hAnsi="Times New Roman"/>
                <w:sz w:val="12"/>
                <w:szCs w:val="12"/>
                <w:b w:val="1"/>
                <w:bCs w:val="1"/>
                <w:color w:val="auto"/>
              </w:rPr>
              <w:t>Three Months Ended September 30, 2023</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9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2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900" w:type="dxa"/>
            <w:vAlign w:val="bottom"/>
          </w:tcPr>
          <w:p>
            <w:pPr>
              <w:spacing w:after="0"/>
              <w:rPr>
                <w:sz w:val="12"/>
                <w:szCs w:val="12"/>
                <w:color w:val="auto"/>
              </w:rPr>
            </w:pPr>
          </w:p>
        </w:tc>
        <w:tc>
          <w:tcPr>
            <w:tcW w:w="1520" w:type="dxa"/>
            <w:vAlign w:val="bottom"/>
            <w:gridSpan w:val="6"/>
            <w:vMerge w:val="restart"/>
          </w:tcPr>
          <w:p>
            <w:pPr>
              <w:jc w:val="right"/>
              <w:ind w:right="58"/>
              <w:spacing w:after="0"/>
              <w:rPr>
                <w:sz w:val="20"/>
                <w:szCs w:val="20"/>
                <w:color w:val="auto"/>
              </w:rPr>
            </w:pPr>
            <w:r>
              <w:rPr>
                <w:rFonts w:ascii="Times New Roman" w:cs="Times New Roman" w:eastAsia="Times New Roman" w:hAnsi="Times New Roman"/>
                <w:sz w:val="12"/>
                <w:szCs w:val="12"/>
                <w:b w:val="1"/>
                <w:bCs w:val="1"/>
                <w:color w:val="auto"/>
              </w:rPr>
              <w:t>Series A Preferred Stock</w:t>
            </w:r>
          </w:p>
        </w:tc>
        <w:tc>
          <w:tcPr>
            <w:tcW w:w="80" w:type="dxa"/>
            <w:vAlign w:val="bottom"/>
          </w:tcPr>
          <w:p>
            <w:pPr>
              <w:spacing w:after="0"/>
              <w:rPr>
                <w:sz w:val="12"/>
                <w:szCs w:val="12"/>
                <w:color w:val="auto"/>
              </w:rPr>
            </w:pPr>
          </w:p>
        </w:tc>
        <w:tc>
          <w:tcPr>
            <w:tcW w:w="1620" w:type="dxa"/>
            <w:vAlign w:val="bottom"/>
            <w:gridSpan w:val="5"/>
            <w:vMerge w:val="restart"/>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Class A Common Stock</w:t>
            </w:r>
          </w:p>
        </w:tc>
        <w:tc>
          <w:tcPr>
            <w:tcW w:w="1640" w:type="dxa"/>
            <w:vAlign w:val="bottom"/>
            <w:gridSpan w:val="5"/>
            <w:vMerge w:val="restart"/>
          </w:tcPr>
          <w:p>
            <w:pPr>
              <w:ind w:left="160"/>
              <w:spacing w:after="0"/>
              <w:rPr>
                <w:sz w:val="20"/>
                <w:szCs w:val="20"/>
                <w:color w:val="auto"/>
              </w:rPr>
            </w:pPr>
            <w:r>
              <w:rPr>
                <w:rFonts w:ascii="Times New Roman" w:cs="Times New Roman" w:eastAsia="Times New Roman" w:hAnsi="Times New Roman"/>
                <w:sz w:val="12"/>
                <w:szCs w:val="12"/>
                <w:b w:val="1"/>
                <w:bCs w:val="1"/>
                <w:color w:val="auto"/>
              </w:rPr>
              <w:t>Class B Common Stock</w:t>
            </w:r>
          </w:p>
        </w:tc>
        <w:tc>
          <w:tcPr>
            <w:tcW w:w="80" w:type="dxa"/>
            <w:vAlign w:val="bottom"/>
          </w:tcPr>
          <w:p>
            <w:pPr>
              <w:spacing w:after="0"/>
              <w:rPr>
                <w:sz w:val="12"/>
                <w:szCs w:val="12"/>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Other</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2900" w:type="dxa"/>
            <w:vAlign w:val="bottom"/>
          </w:tcPr>
          <w:p>
            <w:pPr>
              <w:spacing w:after="0"/>
              <w:rPr>
                <w:sz w:val="8"/>
                <w:szCs w:val="8"/>
                <w:color w:val="auto"/>
              </w:rPr>
            </w:pPr>
          </w:p>
        </w:tc>
        <w:tc>
          <w:tcPr>
            <w:tcW w:w="1520" w:type="dxa"/>
            <w:vAlign w:val="bottom"/>
            <w:gridSpan w:val="6"/>
            <w:vMerge w:val="continue"/>
          </w:tcPr>
          <w:p>
            <w:pPr>
              <w:spacing w:after="0"/>
              <w:rPr>
                <w:sz w:val="8"/>
                <w:szCs w:val="8"/>
                <w:color w:val="auto"/>
              </w:rPr>
            </w:pPr>
          </w:p>
        </w:tc>
        <w:tc>
          <w:tcPr>
            <w:tcW w:w="80" w:type="dxa"/>
            <w:vAlign w:val="bottom"/>
          </w:tcPr>
          <w:p>
            <w:pPr>
              <w:spacing w:after="0"/>
              <w:rPr>
                <w:sz w:val="8"/>
                <w:szCs w:val="8"/>
                <w:color w:val="auto"/>
              </w:rPr>
            </w:pPr>
          </w:p>
        </w:tc>
        <w:tc>
          <w:tcPr>
            <w:tcW w:w="1620" w:type="dxa"/>
            <w:vAlign w:val="bottom"/>
            <w:gridSpan w:val="5"/>
            <w:vMerge w:val="continue"/>
          </w:tcPr>
          <w:p>
            <w:pPr>
              <w:spacing w:after="0"/>
              <w:rPr>
                <w:sz w:val="8"/>
                <w:szCs w:val="8"/>
                <w:color w:val="auto"/>
              </w:rPr>
            </w:pPr>
          </w:p>
        </w:tc>
        <w:tc>
          <w:tcPr>
            <w:tcW w:w="164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2"/>
            <w:vMerge w:val="restart"/>
          </w:tcPr>
          <w:p>
            <w:pPr>
              <w:jc w:val="center"/>
              <w:ind w:right="120"/>
              <w:spacing w:after="0" w:line="120" w:lineRule="exact"/>
              <w:rPr>
                <w:sz w:val="20"/>
                <w:szCs w:val="20"/>
                <w:color w:val="auto"/>
              </w:rPr>
            </w:pPr>
            <w:r>
              <w:rPr>
                <w:rFonts w:ascii="Times New Roman" w:cs="Times New Roman" w:eastAsia="Times New Roman" w:hAnsi="Times New Roman"/>
                <w:sz w:val="12"/>
                <w:szCs w:val="12"/>
                <w:b w:val="1"/>
                <w:bCs w:val="1"/>
                <w:color w:val="auto"/>
              </w:rPr>
              <w:t>Paid-in</w:t>
            </w:r>
          </w:p>
        </w:tc>
        <w:tc>
          <w:tcPr>
            <w:tcW w:w="840" w:type="dxa"/>
            <w:vAlign w:val="bottom"/>
            <w:gridSpan w:val="3"/>
            <w:vMerge w:val="restart"/>
          </w:tcPr>
          <w:p>
            <w:pPr>
              <w:ind w:left="20"/>
              <w:spacing w:after="0" w:line="120"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960" w:type="dxa"/>
            <w:vAlign w:val="bottom"/>
            <w:gridSpan w:val="3"/>
            <w:vMerge w:val="restart"/>
          </w:tcPr>
          <w:p>
            <w:pPr>
              <w:ind w:left="20"/>
              <w:spacing w:after="0" w:line="120"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29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840" w:type="dxa"/>
            <w:vAlign w:val="bottom"/>
            <w:gridSpan w:val="3"/>
            <w:vMerge w:val="continue"/>
          </w:tcPr>
          <w:p>
            <w:pPr>
              <w:spacing w:after="0"/>
              <w:rPr>
                <w:sz w:val="2"/>
                <w:szCs w:val="2"/>
                <w:color w:val="auto"/>
              </w:rPr>
            </w:pPr>
          </w:p>
        </w:tc>
        <w:tc>
          <w:tcPr>
            <w:tcW w:w="96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2900" w:type="dxa"/>
            <w:vAlign w:val="bottom"/>
          </w:tcPr>
          <w:p>
            <w:pPr>
              <w:spacing w:after="0"/>
              <w:rPr>
                <w:sz w:val="15"/>
                <w:szCs w:val="15"/>
                <w:color w:val="auto"/>
              </w:rPr>
            </w:pPr>
          </w:p>
        </w:tc>
        <w:tc>
          <w:tcPr>
            <w:tcW w:w="780" w:type="dxa"/>
            <w:vAlign w:val="bottom"/>
            <w:gridSpan w:val="3"/>
          </w:tcPr>
          <w:p>
            <w:pPr>
              <w:ind w:left="18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78"/>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80" w:type="dxa"/>
            <w:vAlign w:val="bottom"/>
          </w:tcPr>
          <w:p>
            <w:pPr>
              <w:spacing w:after="0"/>
              <w:rPr>
                <w:sz w:val="15"/>
                <w:szCs w:val="15"/>
                <w:color w:val="auto"/>
              </w:rPr>
            </w:pPr>
          </w:p>
        </w:tc>
        <w:tc>
          <w:tcPr>
            <w:tcW w:w="82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Pr>
          <w:p>
            <w:pPr>
              <w:spacing w:after="0"/>
              <w:rPr>
                <w:sz w:val="15"/>
                <w:szCs w:val="15"/>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82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80" w:type="dxa"/>
            <w:vAlign w:val="bottom"/>
          </w:tcPr>
          <w:p>
            <w:pPr>
              <w:spacing w:after="0"/>
              <w:rPr>
                <w:sz w:val="15"/>
                <w:szCs w:val="15"/>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4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80" w:type="dxa"/>
            <w:vAlign w:val="bottom"/>
          </w:tcPr>
          <w:p>
            <w:pPr>
              <w:spacing w:after="0"/>
              <w:rPr>
                <w:sz w:val="15"/>
                <w:szCs w:val="15"/>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Income</w:t>
            </w:r>
          </w:p>
        </w:tc>
        <w:tc>
          <w:tcPr>
            <w:tcW w:w="160" w:type="dxa"/>
            <w:vAlign w:val="bottom"/>
          </w:tcPr>
          <w:p>
            <w:pPr>
              <w:spacing w:after="0"/>
              <w:rPr>
                <w:sz w:val="15"/>
                <w:szCs w:val="15"/>
                <w:color w:val="auto"/>
              </w:rPr>
            </w:pPr>
          </w:p>
        </w:tc>
        <w:tc>
          <w:tcPr>
            <w:tcW w:w="560" w:type="dxa"/>
            <w:vAlign w:val="bottom"/>
          </w:tcPr>
          <w:p>
            <w:pPr>
              <w:jc w:val="right"/>
              <w:ind w:right="158"/>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30"/>
        </w:trPr>
        <w:tc>
          <w:tcPr>
            <w:tcW w:w="29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2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 of June 30, 2023</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835,011</w:t>
            </w: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24,942</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194,336,749</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38,035,408</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567,794</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(554,179)</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38,610</w:t>
            </w:r>
          </w:p>
        </w:tc>
        <w:tc>
          <w:tcPr>
            <w:tcW w:w="0" w:type="dxa"/>
            <w:vAlign w:val="bottom"/>
          </w:tcPr>
          <w:p>
            <w:pPr>
              <w:spacing w:after="0"/>
              <w:rPr>
                <w:sz w:val="1"/>
                <w:szCs w:val="1"/>
                <w:color w:val="auto"/>
              </w:rPr>
            </w:pPr>
          </w:p>
        </w:tc>
      </w:tr>
      <w:tr>
        <w:trPr>
          <w:trHeight w:val="154"/>
        </w:trPr>
        <w:tc>
          <w:tcPr>
            <w:tcW w:w="2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Issuance of Class A common stock for equity incentive</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9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awards</w:t>
            </w: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2,713,549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659</w:t>
            </w:r>
          </w:p>
        </w:tc>
        <w:tc>
          <w:tcPr>
            <w:tcW w:w="0" w:type="dxa"/>
            <w:vAlign w:val="bottom"/>
          </w:tcPr>
          <w:p>
            <w:pPr>
              <w:spacing w:after="0"/>
              <w:rPr>
                <w:sz w:val="1"/>
                <w:szCs w:val="1"/>
                <w:color w:val="auto"/>
              </w:rPr>
            </w:pPr>
          </w:p>
        </w:tc>
      </w:tr>
      <w:tr>
        <w:trPr>
          <w:trHeight w:val="30"/>
        </w:trPr>
        <w:tc>
          <w:tcPr>
            <w:tcW w:w="2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 of Class A common shares upon conversion of</w:t>
            </w: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Class B common shares</w:t>
            </w:r>
          </w:p>
        </w:tc>
        <w:tc>
          <w:tcPr>
            <w:tcW w:w="7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550,000</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(550,000)</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4"/>
        </w:trPr>
        <w:tc>
          <w:tcPr>
            <w:tcW w:w="2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Issuance of Class A common shares upon conversion of</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9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Series A Preferred Stock</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(353,338)</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(10,555)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11,375,090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Pr>
          <w:p>
            <w:pPr>
              <w:spacing w:after="0"/>
              <w:rPr>
                <w:sz w:val="13"/>
                <w:szCs w:val="13"/>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10,554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30"/>
        </w:trPr>
        <w:tc>
          <w:tcPr>
            <w:tcW w:w="29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2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 of common stock warrants</w:t>
            </w:r>
          </w:p>
        </w:tc>
        <w:tc>
          <w:tcPr>
            <w:tcW w:w="7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8"/>
        </w:trPr>
        <w:tc>
          <w:tcPr>
            <w:tcW w:w="2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6,692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6,692</w:t>
            </w:r>
          </w:p>
        </w:tc>
        <w:tc>
          <w:tcPr>
            <w:tcW w:w="0" w:type="dxa"/>
            <w:vAlign w:val="bottom"/>
          </w:tcPr>
          <w:p>
            <w:pPr>
              <w:spacing w:after="0"/>
              <w:rPr>
                <w:sz w:val="1"/>
                <w:szCs w:val="1"/>
                <w:color w:val="auto"/>
              </w:rPr>
            </w:pPr>
          </w:p>
        </w:tc>
      </w:tr>
      <w:tr>
        <w:trPr>
          <w:trHeight w:val="30"/>
        </w:trPr>
        <w:tc>
          <w:tcPr>
            <w:tcW w:w="29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2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7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(20,197)</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(20,197)</w:t>
            </w:r>
          </w:p>
        </w:tc>
        <w:tc>
          <w:tcPr>
            <w:tcW w:w="0" w:type="dxa"/>
            <w:vAlign w:val="bottom"/>
          </w:tcPr>
          <w:p>
            <w:pPr>
              <w:spacing w:after="0"/>
              <w:rPr>
                <w:sz w:val="1"/>
                <w:szCs w:val="1"/>
                <w:color w:val="auto"/>
              </w:rPr>
            </w:pPr>
          </w:p>
        </w:tc>
      </w:tr>
      <w:tr>
        <w:trPr>
          <w:trHeight w:val="168"/>
        </w:trPr>
        <w:tc>
          <w:tcPr>
            <w:tcW w:w="2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Other comprehensive income</w:t>
            </w: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168</w:t>
            </w:r>
          </w:p>
        </w:tc>
        <w:tc>
          <w:tcPr>
            <w:tcW w:w="0" w:type="dxa"/>
            <w:vAlign w:val="bottom"/>
          </w:tcPr>
          <w:p>
            <w:pPr>
              <w:spacing w:after="0"/>
              <w:rPr>
                <w:sz w:val="1"/>
                <w:szCs w:val="1"/>
                <w:color w:val="auto"/>
              </w:rPr>
            </w:pPr>
          </w:p>
        </w:tc>
      </w:tr>
      <w:tr>
        <w:trPr>
          <w:trHeight w:val="30"/>
        </w:trPr>
        <w:tc>
          <w:tcPr>
            <w:tcW w:w="29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Balances as of September 30, 2023</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481,673</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14,387</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208,975,388</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37,485,408</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585,699</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(574,376)</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197</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25,932</w:t>
            </w: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00"/>
          </w:cols>
          <w:pgMar w:left="320" w:top="331" w:right="4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Nine Months Ended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34290</wp:posOffset>
            </wp:positionV>
            <wp:extent cx="70504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50405" cy="8255"/>
                    </a:xfrm>
                    <a:prstGeom prst="rect">
                      <a:avLst/>
                    </a:prstGeom>
                    <a:noFill/>
                  </pic:spPr>
                </pic:pic>
              </a:graphicData>
            </a:graphic>
          </wp:anchor>
        </w:drawing>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2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900" w:type="dxa"/>
            <w:vAlign w:val="bottom"/>
          </w:tcPr>
          <w:p>
            <w:pPr>
              <w:spacing w:after="0"/>
              <w:rPr>
                <w:sz w:val="12"/>
                <w:szCs w:val="12"/>
                <w:color w:val="auto"/>
              </w:rPr>
            </w:pPr>
          </w:p>
        </w:tc>
        <w:tc>
          <w:tcPr>
            <w:tcW w:w="1520" w:type="dxa"/>
            <w:vAlign w:val="bottom"/>
            <w:gridSpan w:val="4"/>
            <w:vMerge w:val="restart"/>
          </w:tcPr>
          <w:p>
            <w:pPr>
              <w:jc w:val="right"/>
              <w:ind w:right="58"/>
              <w:spacing w:after="0"/>
              <w:rPr>
                <w:sz w:val="20"/>
                <w:szCs w:val="20"/>
                <w:color w:val="auto"/>
              </w:rPr>
            </w:pPr>
            <w:r>
              <w:rPr>
                <w:rFonts w:ascii="Times New Roman" w:cs="Times New Roman" w:eastAsia="Times New Roman" w:hAnsi="Times New Roman"/>
                <w:sz w:val="12"/>
                <w:szCs w:val="12"/>
                <w:b w:val="1"/>
                <w:bCs w:val="1"/>
                <w:color w:val="auto"/>
              </w:rPr>
              <w:t>Series A Preferred Stock</w:t>
            </w:r>
          </w:p>
        </w:tc>
        <w:tc>
          <w:tcPr>
            <w:tcW w:w="80" w:type="dxa"/>
            <w:vAlign w:val="bottom"/>
          </w:tcPr>
          <w:p>
            <w:pPr>
              <w:spacing w:after="0"/>
              <w:rPr>
                <w:sz w:val="12"/>
                <w:szCs w:val="12"/>
                <w:color w:val="auto"/>
              </w:rPr>
            </w:pPr>
          </w:p>
        </w:tc>
        <w:tc>
          <w:tcPr>
            <w:tcW w:w="1620" w:type="dxa"/>
            <w:vAlign w:val="bottom"/>
            <w:gridSpan w:val="5"/>
            <w:vMerge w:val="restart"/>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Class A Common Stock</w:t>
            </w:r>
          </w:p>
        </w:tc>
        <w:tc>
          <w:tcPr>
            <w:tcW w:w="1640" w:type="dxa"/>
            <w:vAlign w:val="bottom"/>
            <w:gridSpan w:val="5"/>
            <w:vMerge w:val="restart"/>
          </w:tcPr>
          <w:p>
            <w:pPr>
              <w:ind w:left="160"/>
              <w:spacing w:after="0"/>
              <w:rPr>
                <w:sz w:val="20"/>
                <w:szCs w:val="20"/>
                <w:color w:val="auto"/>
              </w:rPr>
            </w:pPr>
            <w:r>
              <w:rPr>
                <w:rFonts w:ascii="Times New Roman" w:cs="Times New Roman" w:eastAsia="Times New Roman" w:hAnsi="Times New Roman"/>
                <w:sz w:val="12"/>
                <w:szCs w:val="12"/>
                <w:b w:val="1"/>
                <w:bCs w:val="1"/>
                <w:color w:val="auto"/>
              </w:rPr>
              <w:t>Class B Common Stock</w:t>
            </w:r>
          </w:p>
        </w:tc>
        <w:tc>
          <w:tcPr>
            <w:tcW w:w="80" w:type="dxa"/>
            <w:vAlign w:val="bottom"/>
          </w:tcPr>
          <w:p>
            <w:pPr>
              <w:spacing w:after="0"/>
              <w:rPr>
                <w:sz w:val="12"/>
                <w:szCs w:val="12"/>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Other</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900" w:type="dxa"/>
            <w:vAlign w:val="bottom"/>
          </w:tcPr>
          <w:p>
            <w:pPr>
              <w:spacing w:after="0"/>
              <w:rPr>
                <w:sz w:val="9"/>
                <w:szCs w:val="9"/>
                <w:color w:val="auto"/>
              </w:rPr>
            </w:pPr>
          </w:p>
        </w:tc>
        <w:tc>
          <w:tcPr>
            <w:tcW w:w="152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1620" w:type="dxa"/>
            <w:vAlign w:val="bottom"/>
            <w:gridSpan w:val="5"/>
            <w:vMerge w:val="continue"/>
          </w:tcPr>
          <w:p>
            <w:pPr>
              <w:spacing w:after="0"/>
              <w:rPr>
                <w:sz w:val="9"/>
                <w:szCs w:val="9"/>
                <w:color w:val="auto"/>
              </w:rPr>
            </w:pPr>
          </w:p>
        </w:tc>
        <w:tc>
          <w:tcPr>
            <w:tcW w:w="164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vMerge w:val="restart"/>
          </w:tcPr>
          <w:p>
            <w:pPr>
              <w:jc w:val="center"/>
              <w:ind w:right="200"/>
              <w:spacing w:after="0" w:line="120" w:lineRule="exact"/>
              <w:rPr>
                <w:sz w:val="20"/>
                <w:szCs w:val="20"/>
                <w:color w:val="auto"/>
              </w:rPr>
            </w:pPr>
            <w:r>
              <w:rPr>
                <w:rFonts w:ascii="Times New Roman" w:cs="Times New Roman" w:eastAsia="Times New Roman" w:hAnsi="Times New Roman"/>
                <w:sz w:val="12"/>
                <w:szCs w:val="12"/>
                <w:b w:val="1"/>
                <w:bCs w:val="1"/>
                <w:color w:val="auto"/>
              </w:rPr>
              <w:t>Paid-in</w:t>
            </w:r>
          </w:p>
        </w:tc>
        <w:tc>
          <w:tcPr>
            <w:tcW w:w="840" w:type="dxa"/>
            <w:vAlign w:val="bottom"/>
            <w:gridSpan w:val="3"/>
            <w:vMerge w:val="restart"/>
          </w:tcPr>
          <w:p>
            <w:pPr>
              <w:ind w:left="20"/>
              <w:spacing w:after="0" w:line="120"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960" w:type="dxa"/>
            <w:vAlign w:val="bottom"/>
            <w:gridSpan w:val="3"/>
            <w:vMerge w:val="restart"/>
          </w:tcPr>
          <w:p>
            <w:pPr>
              <w:ind w:left="20"/>
              <w:spacing w:after="0" w:line="120"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29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840" w:type="dxa"/>
            <w:vAlign w:val="bottom"/>
            <w:gridSpan w:val="3"/>
            <w:vMerge w:val="continue"/>
          </w:tcPr>
          <w:p>
            <w:pPr>
              <w:spacing w:after="0"/>
              <w:rPr>
                <w:sz w:val="2"/>
                <w:szCs w:val="2"/>
                <w:color w:val="auto"/>
              </w:rPr>
            </w:pPr>
          </w:p>
        </w:tc>
        <w:tc>
          <w:tcPr>
            <w:tcW w:w="96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900" w:type="dxa"/>
            <w:vAlign w:val="bottom"/>
          </w:tcPr>
          <w:p>
            <w:pPr>
              <w:spacing w:after="0"/>
              <w:rPr>
                <w:sz w:val="14"/>
                <w:szCs w:val="14"/>
                <w:color w:val="auto"/>
              </w:rPr>
            </w:pPr>
          </w:p>
        </w:tc>
        <w:tc>
          <w:tcPr>
            <w:tcW w:w="800" w:type="dxa"/>
            <w:vAlign w:val="bottom"/>
            <w:gridSpan w:val="2"/>
          </w:tcPr>
          <w:p>
            <w:pPr>
              <w:ind w:left="18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jc w:val="right"/>
              <w:ind w:right="78"/>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80" w:type="dxa"/>
            <w:vAlign w:val="bottom"/>
          </w:tcPr>
          <w:p>
            <w:pPr>
              <w:spacing w:after="0"/>
              <w:rPr>
                <w:sz w:val="14"/>
                <w:szCs w:val="14"/>
                <w:color w:val="auto"/>
              </w:rPr>
            </w:pPr>
          </w:p>
        </w:tc>
        <w:tc>
          <w:tcPr>
            <w:tcW w:w="82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82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80" w:type="dxa"/>
            <w:vAlign w:val="bottom"/>
          </w:tcPr>
          <w:p>
            <w:pPr>
              <w:spacing w:after="0"/>
              <w:rPr>
                <w:sz w:val="14"/>
                <w:szCs w:val="14"/>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4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8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Income</w:t>
            </w:r>
          </w:p>
        </w:tc>
        <w:tc>
          <w:tcPr>
            <w:tcW w:w="160" w:type="dxa"/>
            <w:vAlign w:val="bottom"/>
          </w:tcPr>
          <w:p>
            <w:pPr>
              <w:spacing w:after="0"/>
              <w:rPr>
                <w:sz w:val="14"/>
                <w:szCs w:val="14"/>
                <w:color w:val="auto"/>
              </w:rPr>
            </w:pPr>
          </w:p>
        </w:tc>
        <w:tc>
          <w:tcPr>
            <w:tcW w:w="560" w:type="dxa"/>
            <w:vAlign w:val="bottom"/>
          </w:tcPr>
          <w:p>
            <w:pPr>
              <w:jc w:val="right"/>
              <w:ind w:right="158"/>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30"/>
        </w:trPr>
        <w:tc>
          <w:tcPr>
            <w:tcW w:w="29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2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Balances as of December 31, 2023</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475,005</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14,187</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216,943,349</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37,485,408</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606,135</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(592,379)</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28,168</w:t>
            </w:r>
          </w:p>
        </w:tc>
        <w:tc>
          <w:tcPr>
            <w:tcW w:w="0" w:type="dxa"/>
            <w:vAlign w:val="bottom"/>
          </w:tcPr>
          <w:p>
            <w:pPr>
              <w:spacing w:after="0"/>
              <w:rPr>
                <w:sz w:val="1"/>
                <w:szCs w:val="1"/>
                <w:color w:val="auto"/>
              </w:rPr>
            </w:pPr>
          </w:p>
        </w:tc>
      </w:tr>
      <w:tr>
        <w:trPr>
          <w:trHeight w:val="154"/>
        </w:trPr>
        <w:tc>
          <w:tcPr>
            <w:tcW w:w="2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Issuance of Class A common stock under the Sales</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9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Agreement and Equity Distribution Agreement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69,601,417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80" w:type="dxa"/>
            <w:vAlign w:val="bottom"/>
          </w:tcPr>
          <w:p>
            <w:pPr>
              <w:spacing w:after="0"/>
              <w:rPr>
                <w:sz w:val="13"/>
                <w:szCs w:val="13"/>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279,862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279,869</w:t>
            </w:r>
          </w:p>
        </w:tc>
        <w:tc>
          <w:tcPr>
            <w:tcW w:w="0" w:type="dxa"/>
            <w:vAlign w:val="bottom"/>
          </w:tcPr>
          <w:p>
            <w:pPr>
              <w:spacing w:after="0"/>
              <w:rPr>
                <w:sz w:val="1"/>
                <w:szCs w:val="1"/>
                <w:color w:val="auto"/>
              </w:rPr>
            </w:pPr>
          </w:p>
        </w:tc>
      </w:tr>
      <w:tr>
        <w:trPr>
          <w:trHeight w:val="30"/>
        </w:trPr>
        <w:tc>
          <w:tcPr>
            <w:tcW w:w="2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 of Class A common stock upon acquisition of</w:t>
            </w: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SYNQ3</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5,794,187</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9,875</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9,876</w:t>
            </w:r>
          </w:p>
        </w:tc>
        <w:tc>
          <w:tcPr>
            <w:tcW w:w="0" w:type="dxa"/>
            <w:vAlign w:val="bottom"/>
          </w:tcPr>
          <w:p>
            <w:pPr>
              <w:spacing w:after="0"/>
              <w:rPr>
                <w:sz w:val="1"/>
                <w:szCs w:val="1"/>
                <w:color w:val="auto"/>
              </w:rPr>
            </w:pPr>
          </w:p>
        </w:tc>
      </w:tr>
      <w:tr>
        <w:trPr>
          <w:trHeight w:val="154"/>
        </w:trPr>
        <w:tc>
          <w:tcPr>
            <w:tcW w:w="2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Issuance of restricted shares of Class A common stock,</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9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subject to repurchase in connection with acquisition</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9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of SYNQ3</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2,033,156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30"/>
        </w:trPr>
        <w:tc>
          <w:tcPr>
            <w:tcW w:w="2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 of Class A common stock for equity incentive</w:t>
            </w: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awards</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9,562,128</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11,064</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11,064</w:t>
            </w:r>
          </w:p>
        </w:tc>
        <w:tc>
          <w:tcPr>
            <w:tcW w:w="0" w:type="dxa"/>
            <w:vAlign w:val="bottom"/>
          </w:tcPr>
          <w:p>
            <w:pPr>
              <w:spacing w:after="0"/>
              <w:rPr>
                <w:sz w:val="1"/>
                <w:szCs w:val="1"/>
                <w:color w:val="auto"/>
              </w:rPr>
            </w:pPr>
          </w:p>
        </w:tc>
      </w:tr>
      <w:tr>
        <w:trPr>
          <w:trHeight w:val="154"/>
        </w:trPr>
        <w:tc>
          <w:tcPr>
            <w:tcW w:w="2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Issuance of Class A common stock upon conversion of</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9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Class B common shares</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4,750,000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(4,750,000)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30"/>
        </w:trPr>
        <w:tc>
          <w:tcPr>
            <w:tcW w:w="2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 of Class A common stock upon conversion of</w:t>
            </w: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Series A Preferred Stock</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(475,005)</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(14,187)</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16,624,215</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14,186</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4"/>
        </w:trPr>
        <w:tc>
          <w:tcPr>
            <w:tcW w:w="2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Issuance of Class A common stock in connection with</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9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the cashless exercise of warrants</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2,269,982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30"/>
        </w:trPr>
        <w:tc>
          <w:tcPr>
            <w:tcW w:w="2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 of Class A common stock upon acquisition of</w:t>
            </w: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Amelia</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5,959,050</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23,919</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23,920</w:t>
            </w:r>
          </w:p>
        </w:tc>
        <w:tc>
          <w:tcPr>
            <w:tcW w:w="0" w:type="dxa"/>
            <w:vAlign w:val="bottom"/>
          </w:tcPr>
          <w:p>
            <w:pPr>
              <w:spacing w:after="0"/>
              <w:rPr>
                <w:sz w:val="1"/>
                <w:szCs w:val="1"/>
                <w:color w:val="auto"/>
              </w:rPr>
            </w:pPr>
          </w:p>
        </w:tc>
      </w:tr>
      <w:tr>
        <w:trPr>
          <w:trHeight w:val="154"/>
        </w:trPr>
        <w:tc>
          <w:tcPr>
            <w:tcW w:w="2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Issuance of Class A common stock to settle obligations</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9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under Amelia Debt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2,943,917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11,817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11,817</w:t>
            </w:r>
          </w:p>
        </w:tc>
        <w:tc>
          <w:tcPr>
            <w:tcW w:w="0" w:type="dxa"/>
            <w:vAlign w:val="bottom"/>
          </w:tcPr>
          <w:p>
            <w:pPr>
              <w:spacing w:after="0"/>
              <w:rPr>
                <w:sz w:val="1"/>
                <w:szCs w:val="1"/>
                <w:color w:val="auto"/>
              </w:rPr>
            </w:pPr>
          </w:p>
        </w:tc>
      </w:tr>
      <w:tr>
        <w:trPr>
          <w:trHeight w:val="30"/>
        </w:trPr>
        <w:tc>
          <w:tcPr>
            <w:tcW w:w="2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2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23,292</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23,292</w:t>
            </w:r>
          </w:p>
        </w:tc>
        <w:tc>
          <w:tcPr>
            <w:tcW w:w="0" w:type="dxa"/>
            <w:vAlign w:val="bottom"/>
          </w:tcPr>
          <w:p>
            <w:pPr>
              <w:spacing w:after="0"/>
              <w:rPr>
                <w:sz w:val="1"/>
                <w:szCs w:val="1"/>
                <w:color w:val="auto"/>
              </w:rPr>
            </w:pPr>
          </w:p>
        </w:tc>
      </w:tr>
      <w:tr>
        <w:trPr>
          <w:trHeight w:val="168"/>
        </w:trPr>
        <w:tc>
          <w:tcPr>
            <w:tcW w:w="2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(92,082)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(92,082)</w:t>
            </w:r>
          </w:p>
        </w:tc>
        <w:tc>
          <w:tcPr>
            <w:tcW w:w="0" w:type="dxa"/>
            <w:vAlign w:val="bottom"/>
          </w:tcPr>
          <w:p>
            <w:pPr>
              <w:spacing w:after="0"/>
              <w:rPr>
                <w:sz w:val="1"/>
                <w:szCs w:val="1"/>
                <w:color w:val="auto"/>
              </w:rPr>
            </w:pPr>
          </w:p>
        </w:tc>
      </w:tr>
      <w:tr>
        <w:trPr>
          <w:trHeight w:val="30"/>
        </w:trPr>
        <w:tc>
          <w:tcPr>
            <w:tcW w:w="2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 comprehensive income</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0" w:type="dxa"/>
            <w:vAlign w:val="bottom"/>
          </w:tcPr>
          <w:p>
            <w:pPr>
              <w:spacing w:after="0"/>
              <w:rPr>
                <w:sz w:val="1"/>
                <w:szCs w:val="1"/>
                <w:color w:val="auto"/>
              </w:rPr>
            </w:pPr>
          </w:p>
        </w:tc>
      </w:tr>
      <w:tr>
        <w:trPr>
          <w:trHeight w:val="162"/>
        </w:trPr>
        <w:tc>
          <w:tcPr>
            <w:tcW w:w="29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Balances as of September 30, 2024</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336,481,401</w:t>
            </w:r>
          </w:p>
        </w:tc>
        <w:tc>
          <w:tcPr>
            <w:tcW w:w="8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80" w:type="dxa"/>
            <w:vAlign w:val="bottom"/>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32,735,408</w:t>
            </w:r>
          </w:p>
        </w:tc>
        <w:tc>
          <w:tcPr>
            <w:tcW w:w="8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8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980,150</w:t>
            </w:r>
          </w:p>
        </w:tc>
        <w:tc>
          <w:tcPr>
            <w:tcW w:w="80" w:type="dxa"/>
            <w:vAlign w:val="bottom"/>
          </w:tcPr>
          <w:p>
            <w:pPr>
              <w:spacing w:after="0"/>
              <w:rPr>
                <w:sz w:val="14"/>
                <w:szCs w:val="14"/>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(684,461)</w:t>
            </w:r>
          </w:p>
        </w:tc>
        <w:tc>
          <w:tcPr>
            <w:tcW w:w="80" w:type="dxa"/>
            <w:vAlign w:val="bottom"/>
          </w:tcPr>
          <w:p>
            <w:pPr>
              <w:spacing w:after="0"/>
              <w:rPr>
                <w:sz w:val="14"/>
                <w:szCs w:val="14"/>
                <w:color w:val="auto"/>
              </w:rPr>
            </w:pPr>
          </w:p>
        </w:tc>
        <w:tc>
          <w:tcPr>
            <w:tcW w:w="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262</w:t>
            </w:r>
          </w:p>
        </w:tc>
        <w:tc>
          <w:tcPr>
            <w:tcW w:w="80" w:type="dxa"/>
            <w:vAlign w:val="bottom"/>
          </w:tcPr>
          <w:p>
            <w:pPr>
              <w:spacing w:after="0"/>
              <w:rPr>
                <w:sz w:val="14"/>
                <w:szCs w:val="14"/>
                <w:color w:val="auto"/>
              </w:rPr>
            </w:pPr>
          </w:p>
        </w:tc>
        <w:tc>
          <w:tcPr>
            <w:tcW w:w="16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295,987</w:t>
            </w:r>
          </w:p>
        </w:tc>
        <w:tc>
          <w:tcPr>
            <w:tcW w:w="0" w:type="dxa"/>
            <w:vAlign w:val="bottom"/>
          </w:tcPr>
          <w:p>
            <w:pPr>
              <w:spacing w:after="0"/>
              <w:rPr>
                <w:sz w:val="1"/>
                <w:szCs w:val="1"/>
                <w:color w:val="auto"/>
              </w:rPr>
            </w:pPr>
          </w:p>
        </w:tc>
      </w:tr>
      <w:tr>
        <w:trPr>
          <w:trHeight w:val="30"/>
        </w:trPr>
        <w:tc>
          <w:tcPr>
            <w:tcW w:w="29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520" w:type="dxa"/>
            <w:vAlign w:val="bottom"/>
            <w:gridSpan w:val="8"/>
          </w:tcPr>
          <w:p>
            <w:pPr>
              <w:ind w:left="80"/>
              <w:spacing w:after="0"/>
              <w:rPr>
                <w:sz w:val="20"/>
                <w:szCs w:val="20"/>
                <w:color w:val="auto"/>
              </w:rPr>
            </w:pPr>
            <w:r>
              <w:rPr>
                <w:rFonts w:ascii="Times New Roman" w:cs="Times New Roman" w:eastAsia="Times New Roman" w:hAnsi="Times New Roman"/>
                <w:sz w:val="12"/>
                <w:szCs w:val="12"/>
                <w:b w:val="1"/>
                <w:bCs w:val="1"/>
                <w:color w:val="auto"/>
              </w:rPr>
              <w:t>Nine Months Ended September 30, 2023</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9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2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2900" w:type="dxa"/>
            <w:vAlign w:val="bottom"/>
          </w:tcPr>
          <w:p>
            <w:pPr>
              <w:spacing w:after="0"/>
              <w:rPr>
                <w:sz w:val="12"/>
                <w:szCs w:val="12"/>
                <w:color w:val="auto"/>
              </w:rPr>
            </w:pPr>
          </w:p>
        </w:tc>
        <w:tc>
          <w:tcPr>
            <w:tcW w:w="1520" w:type="dxa"/>
            <w:vAlign w:val="bottom"/>
            <w:gridSpan w:val="4"/>
            <w:vMerge w:val="restart"/>
          </w:tcPr>
          <w:p>
            <w:pPr>
              <w:jc w:val="right"/>
              <w:ind w:right="58"/>
              <w:spacing w:after="0"/>
              <w:rPr>
                <w:sz w:val="20"/>
                <w:szCs w:val="20"/>
                <w:color w:val="auto"/>
              </w:rPr>
            </w:pPr>
            <w:r>
              <w:rPr>
                <w:rFonts w:ascii="Times New Roman" w:cs="Times New Roman" w:eastAsia="Times New Roman" w:hAnsi="Times New Roman"/>
                <w:sz w:val="12"/>
                <w:szCs w:val="12"/>
                <w:b w:val="1"/>
                <w:bCs w:val="1"/>
                <w:color w:val="auto"/>
              </w:rPr>
              <w:t>Series A Preferred Stock</w:t>
            </w:r>
          </w:p>
        </w:tc>
        <w:tc>
          <w:tcPr>
            <w:tcW w:w="80" w:type="dxa"/>
            <w:vAlign w:val="bottom"/>
          </w:tcPr>
          <w:p>
            <w:pPr>
              <w:spacing w:after="0"/>
              <w:rPr>
                <w:sz w:val="12"/>
                <w:szCs w:val="12"/>
                <w:color w:val="auto"/>
              </w:rPr>
            </w:pPr>
          </w:p>
        </w:tc>
        <w:tc>
          <w:tcPr>
            <w:tcW w:w="1620" w:type="dxa"/>
            <w:vAlign w:val="bottom"/>
            <w:gridSpan w:val="5"/>
            <w:vMerge w:val="restart"/>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Class A Common Stock</w:t>
            </w:r>
          </w:p>
        </w:tc>
        <w:tc>
          <w:tcPr>
            <w:tcW w:w="1640" w:type="dxa"/>
            <w:vAlign w:val="bottom"/>
            <w:gridSpan w:val="5"/>
            <w:vMerge w:val="restart"/>
          </w:tcPr>
          <w:p>
            <w:pPr>
              <w:ind w:left="160"/>
              <w:spacing w:after="0"/>
              <w:rPr>
                <w:sz w:val="20"/>
                <w:szCs w:val="20"/>
                <w:color w:val="auto"/>
              </w:rPr>
            </w:pPr>
            <w:r>
              <w:rPr>
                <w:rFonts w:ascii="Times New Roman" w:cs="Times New Roman" w:eastAsia="Times New Roman" w:hAnsi="Times New Roman"/>
                <w:sz w:val="12"/>
                <w:szCs w:val="12"/>
                <w:b w:val="1"/>
                <w:bCs w:val="1"/>
                <w:color w:val="auto"/>
              </w:rPr>
              <w:t>Class B Common Stock</w:t>
            </w:r>
          </w:p>
        </w:tc>
        <w:tc>
          <w:tcPr>
            <w:tcW w:w="80" w:type="dxa"/>
            <w:vAlign w:val="bottom"/>
          </w:tcPr>
          <w:p>
            <w:pPr>
              <w:spacing w:after="0"/>
              <w:rPr>
                <w:sz w:val="12"/>
                <w:szCs w:val="12"/>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Other</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900" w:type="dxa"/>
            <w:vAlign w:val="bottom"/>
          </w:tcPr>
          <w:p>
            <w:pPr>
              <w:spacing w:after="0"/>
              <w:rPr>
                <w:sz w:val="9"/>
                <w:szCs w:val="9"/>
                <w:color w:val="auto"/>
              </w:rPr>
            </w:pPr>
          </w:p>
        </w:tc>
        <w:tc>
          <w:tcPr>
            <w:tcW w:w="152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1620" w:type="dxa"/>
            <w:vAlign w:val="bottom"/>
            <w:gridSpan w:val="5"/>
            <w:vMerge w:val="continue"/>
          </w:tcPr>
          <w:p>
            <w:pPr>
              <w:spacing w:after="0"/>
              <w:rPr>
                <w:sz w:val="9"/>
                <w:szCs w:val="9"/>
                <w:color w:val="auto"/>
              </w:rPr>
            </w:pPr>
          </w:p>
        </w:tc>
        <w:tc>
          <w:tcPr>
            <w:tcW w:w="164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vMerge w:val="restart"/>
          </w:tcPr>
          <w:p>
            <w:pPr>
              <w:jc w:val="center"/>
              <w:ind w:right="120"/>
              <w:spacing w:after="0" w:line="120" w:lineRule="exact"/>
              <w:rPr>
                <w:sz w:val="20"/>
                <w:szCs w:val="20"/>
                <w:color w:val="auto"/>
              </w:rPr>
            </w:pPr>
            <w:r>
              <w:rPr>
                <w:rFonts w:ascii="Times New Roman" w:cs="Times New Roman" w:eastAsia="Times New Roman" w:hAnsi="Times New Roman"/>
                <w:sz w:val="12"/>
                <w:szCs w:val="12"/>
                <w:b w:val="1"/>
                <w:bCs w:val="1"/>
                <w:color w:val="auto"/>
              </w:rPr>
              <w:t>Paid-in</w:t>
            </w:r>
          </w:p>
        </w:tc>
        <w:tc>
          <w:tcPr>
            <w:tcW w:w="840" w:type="dxa"/>
            <w:vAlign w:val="bottom"/>
            <w:gridSpan w:val="3"/>
            <w:vMerge w:val="restart"/>
          </w:tcPr>
          <w:p>
            <w:pPr>
              <w:ind w:left="20"/>
              <w:spacing w:after="0" w:line="120"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960" w:type="dxa"/>
            <w:vAlign w:val="bottom"/>
            <w:gridSpan w:val="3"/>
            <w:vMerge w:val="restart"/>
          </w:tcPr>
          <w:p>
            <w:pPr>
              <w:ind w:left="20"/>
              <w:spacing w:after="0" w:line="120"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29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840" w:type="dxa"/>
            <w:vAlign w:val="bottom"/>
            <w:gridSpan w:val="3"/>
            <w:vMerge w:val="continue"/>
          </w:tcPr>
          <w:p>
            <w:pPr>
              <w:spacing w:after="0"/>
              <w:rPr>
                <w:sz w:val="2"/>
                <w:szCs w:val="2"/>
                <w:color w:val="auto"/>
              </w:rPr>
            </w:pPr>
          </w:p>
        </w:tc>
        <w:tc>
          <w:tcPr>
            <w:tcW w:w="96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900" w:type="dxa"/>
            <w:vAlign w:val="bottom"/>
          </w:tcPr>
          <w:p>
            <w:pPr>
              <w:spacing w:after="0"/>
              <w:rPr>
                <w:sz w:val="14"/>
                <w:szCs w:val="14"/>
                <w:color w:val="auto"/>
              </w:rPr>
            </w:pPr>
          </w:p>
        </w:tc>
        <w:tc>
          <w:tcPr>
            <w:tcW w:w="800" w:type="dxa"/>
            <w:vAlign w:val="bottom"/>
            <w:gridSpan w:val="2"/>
          </w:tcPr>
          <w:p>
            <w:pPr>
              <w:ind w:left="18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jc w:val="right"/>
              <w:ind w:right="78"/>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80" w:type="dxa"/>
            <w:vAlign w:val="bottom"/>
          </w:tcPr>
          <w:p>
            <w:pPr>
              <w:spacing w:after="0"/>
              <w:rPr>
                <w:sz w:val="14"/>
                <w:szCs w:val="14"/>
                <w:color w:val="auto"/>
              </w:rPr>
            </w:pPr>
          </w:p>
        </w:tc>
        <w:tc>
          <w:tcPr>
            <w:tcW w:w="82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82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80" w:type="dxa"/>
            <w:vAlign w:val="bottom"/>
          </w:tcPr>
          <w:p>
            <w:pPr>
              <w:spacing w:after="0"/>
              <w:rPr>
                <w:sz w:val="14"/>
                <w:szCs w:val="14"/>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4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8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Income</w:t>
            </w:r>
          </w:p>
        </w:tc>
        <w:tc>
          <w:tcPr>
            <w:tcW w:w="160" w:type="dxa"/>
            <w:vAlign w:val="bottom"/>
          </w:tcPr>
          <w:p>
            <w:pPr>
              <w:spacing w:after="0"/>
              <w:rPr>
                <w:sz w:val="14"/>
                <w:szCs w:val="14"/>
                <w:color w:val="auto"/>
              </w:rPr>
            </w:pPr>
          </w:p>
        </w:tc>
        <w:tc>
          <w:tcPr>
            <w:tcW w:w="560" w:type="dxa"/>
            <w:vAlign w:val="bottom"/>
          </w:tcPr>
          <w:p>
            <w:pPr>
              <w:jc w:val="right"/>
              <w:ind w:right="158"/>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30"/>
        </w:trPr>
        <w:tc>
          <w:tcPr>
            <w:tcW w:w="29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2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 of December 31, 2022</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160,297,664</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39,735,408</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466,857</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(503,442)</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(36,565)</w:t>
            </w:r>
          </w:p>
        </w:tc>
        <w:tc>
          <w:tcPr>
            <w:tcW w:w="0" w:type="dxa"/>
            <w:vAlign w:val="bottom"/>
          </w:tcPr>
          <w:p>
            <w:pPr>
              <w:spacing w:after="0"/>
              <w:rPr>
                <w:sz w:val="1"/>
                <w:szCs w:val="1"/>
                <w:color w:val="auto"/>
              </w:rPr>
            </w:pPr>
          </w:p>
        </w:tc>
      </w:tr>
      <w:tr>
        <w:trPr>
          <w:trHeight w:val="154"/>
        </w:trPr>
        <w:tc>
          <w:tcPr>
            <w:tcW w:w="2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Issuance of Class A common stock for equity incentive</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9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awards</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9,802,634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Pr>
          <w:p>
            <w:pPr>
              <w:spacing w:after="0"/>
              <w:rPr>
                <w:sz w:val="13"/>
                <w:szCs w:val="13"/>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8,836</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8,837</w:t>
            </w:r>
          </w:p>
        </w:tc>
        <w:tc>
          <w:tcPr>
            <w:tcW w:w="0" w:type="dxa"/>
            <w:vAlign w:val="bottom"/>
          </w:tcPr>
          <w:p>
            <w:pPr>
              <w:spacing w:after="0"/>
              <w:rPr>
                <w:sz w:val="1"/>
                <w:szCs w:val="1"/>
                <w:color w:val="auto"/>
              </w:rPr>
            </w:pPr>
          </w:p>
        </w:tc>
      </w:tr>
      <w:tr>
        <w:trPr>
          <w:trHeight w:val="30"/>
        </w:trPr>
        <w:tc>
          <w:tcPr>
            <w:tcW w:w="2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 of Class A common stock under the ELOC</w:t>
            </w: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program</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25,000,000</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73,762</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73,765</w:t>
            </w:r>
          </w:p>
        </w:tc>
        <w:tc>
          <w:tcPr>
            <w:tcW w:w="0" w:type="dxa"/>
            <w:vAlign w:val="bottom"/>
          </w:tcPr>
          <w:p>
            <w:pPr>
              <w:spacing w:after="0"/>
              <w:rPr>
                <w:sz w:val="1"/>
                <w:szCs w:val="1"/>
                <w:color w:val="auto"/>
              </w:rPr>
            </w:pPr>
          </w:p>
        </w:tc>
      </w:tr>
      <w:tr>
        <w:trPr>
          <w:trHeight w:val="168"/>
        </w:trPr>
        <w:tc>
          <w:tcPr>
            <w:tcW w:w="2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ELOC program fee settled in common stock</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250,000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915</w:t>
            </w:r>
          </w:p>
        </w:tc>
        <w:tc>
          <w:tcPr>
            <w:tcW w:w="0" w:type="dxa"/>
            <w:vAlign w:val="bottom"/>
          </w:tcPr>
          <w:p>
            <w:pPr>
              <w:spacing w:after="0"/>
              <w:rPr>
                <w:sz w:val="1"/>
                <w:szCs w:val="1"/>
                <w:color w:val="auto"/>
              </w:rPr>
            </w:pPr>
          </w:p>
        </w:tc>
      </w:tr>
      <w:tr>
        <w:trPr>
          <w:trHeight w:val="30"/>
        </w:trPr>
        <w:tc>
          <w:tcPr>
            <w:tcW w:w="2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2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 of Series A Preferred Stock</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835,011</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24,942</w:t>
            </w:r>
          </w:p>
        </w:tc>
        <w:tc>
          <w:tcPr>
            <w:tcW w:w="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24,942</w:t>
            </w:r>
          </w:p>
        </w:tc>
        <w:tc>
          <w:tcPr>
            <w:tcW w:w="0" w:type="dxa"/>
            <w:vAlign w:val="bottom"/>
          </w:tcPr>
          <w:p>
            <w:pPr>
              <w:spacing w:after="0"/>
              <w:rPr>
                <w:sz w:val="1"/>
                <w:szCs w:val="1"/>
                <w:color w:val="auto"/>
              </w:rPr>
            </w:pPr>
          </w:p>
        </w:tc>
      </w:tr>
      <w:tr>
        <w:trPr>
          <w:trHeight w:val="154"/>
        </w:trPr>
        <w:tc>
          <w:tcPr>
            <w:tcW w:w="2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Issuance of Class A common shares upon conversion of</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9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Class B common shares</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2,250,000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(2,250,000)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30"/>
        </w:trPr>
        <w:tc>
          <w:tcPr>
            <w:tcW w:w="2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 of Class A common shares upon conversion of</w:t>
            </w: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Series A Preferred Stock</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(353,338)</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(10,555)</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11,375,090</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10,554</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8"/>
        </w:trPr>
        <w:tc>
          <w:tcPr>
            <w:tcW w:w="2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Issuance of common stock warrants</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4,136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4,136</w:t>
            </w:r>
          </w:p>
        </w:tc>
        <w:tc>
          <w:tcPr>
            <w:tcW w:w="0" w:type="dxa"/>
            <w:vAlign w:val="bottom"/>
          </w:tcPr>
          <w:p>
            <w:pPr>
              <w:spacing w:after="0"/>
              <w:rPr>
                <w:sz w:val="1"/>
                <w:szCs w:val="1"/>
                <w:color w:val="auto"/>
              </w:rPr>
            </w:pPr>
          </w:p>
        </w:tc>
      </w:tr>
      <w:tr>
        <w:trPr>
          <w:trHeight w:val="30"/>
        </w:trPr>
        <w:tc>
          <w:tcPr>
            <w:tcW w:w="29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2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20,639</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20,639</w:t>
            </w:r>
          </w:p>
        </w:tc>
        <w:tc>
          <w:tcPr>
            <w:tcW w:w="0" w:type="dxa"/>
            <w:vAlign w:val="bottom"/>
          </w:tcPr>
          <w:p>
            <w:pPr>
              <w:spacing w:after="0"/>
              <w:rPr>
                <w:sz w:val="1"/>
                <w:szCs w:val="1"/>
                <w:color w:val="auto"/>
              </w:rPr>
            </w:pPr>
          </w:p>
        </w:tc>
      </w:tr>
      <w:tr>
        <w:trPr>
          <w:trHeight w:val="168"/>
        </w:trPr>
        <w:tc>
          <w:tcPr>
            <w:tcW w:w="2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(70,934)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(70,934)</w:t>
            </w:r>
          </w:p>
        </w:tc>
        <w:tc>
          <w:tcPr>
            <w:tcW w:w="0" w:type="dxa"/>
            <w:vAlign w:val="bottom"/>
          </w:tcPr>
          <w:p>
            <w:pPr>
              <w:spacing w:after="0"/>
              <w:rPr>
                <w:sz w:val="1"/>
                <w:szCs w:val="1"/>
                <w:color w:val="auto"/>
              </w:rPr>
            </w:pPr>
          </w:p>
        </w:tc>
      </w:tr>
      <w:tr>
        <w:trPr>
          <w:trHeight w:val="30"/>
        </w:trPr>
        <w:tc>
          <w:tcPr>
            <w:tcW w:w="29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 comprehensive income</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197</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197</w:t>
            </w:r>
          </w:p>
        </w:tc>
        <w:tc>
          <w:tcPr>
            <w:tcW w:w="0" w:type="dxa"/>
            <w:vAlign w:val="bottom"/>
          </w:tcPr>
          <w:p>
            <w:pPr>
              <w:spacing w:after="0"/>
              <w:rPr>
                <w:sz w:val="1"/>
                <w:szCs w:val="1"/>
                <w:color w:val="auto"/>
              </w:rPr>
            </w:pPr>
          </w:p>
        </w:tc>
      </w:tr>
      <w:tr>
        <w:trPr>
          <w:trHeight w:val="190"/>
        </w:trPr>
        <w:tc>
          <w:tcPr>
            <w:tcW w:w="29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Balances as of September 30, 2023</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481,673</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14,387</w:t>
            </w:r>
          </w:p>
        </w:tc>
        <w:tc>
          <w:tcPr>
            <w:tcW w:w="80" w:type="dxa"/>
            <w:vAlign w:val="bottom"/>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208,975,388</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80" w:type="dxa"/>
            <w:vAlign w:val="bottom"/>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37,485,408</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585,699</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(574,376)</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197</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25,932</w:t>
            </w:r>
          </w:p>
        </w:tc>
        <w:tc>
          <w:tcPr>
            <w:tcW w:w="0" w:type="dxa"/>
            <w:vAlign w:val="bottom"/>
          </w:tcPr>
          <w:p>
            <w:pPr>
              <w:spacing w:after="0"/>
              <w:rPr>
                <w:sz w:val="1"/>
                <w:szCs w:val="1"/>
                <w:color w:val="auto"/>
              </w:rPr>
            </w:pPr>
          </w:p>
        </w:tc>
      </w:tr>
      <w:tr>
        <w:trPr>
          <w:trHeight w:val="22"/>
        </w:trPr>
        <w:tc>
          <w:tcPr>
            <w:tcW w:w="29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00"/>
          </w:cols>
          <w:pgMar w:left="320" w:top="331" w:right="4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32"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25"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180" w:type="dxa"/>
            <w:vAlign w:val="bottom"/>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8"/>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Cash flows used in operating activities:</w:t>
            </w: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818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8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loss</w:t>
            </w:r>
          </w:p>
        </w:tc>
        <w:tc>
          <w:tcPr>
            <w:tcW w:w="900" w:type="dxa"/>
            <w:vAlign w:val="bottom"/>
            <w:tcBorders>
              <w:bottom w:val="single" w:sz="8" w:color="CCEEFF"/>
            </w:tcBorders>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(92,082)</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(70,934)</w:t>
            </w:r>
          </w:p>
        </w:tc>
        <w:tc>
          <w:tcPr>
            <w:tcW w:w="0" w:type="dxa"/>
            <w:vAlign w:val="bottom"/>
          </w:tcPr>
          <w:p>
            <w:pPr>
              <w:spacing w:after="0"/>
              <w:rPr>
                <w:sz w:val="1"/>
                <w:szCs w:val="1"/>
                <w:color w:val="auto"/>
              </w:rPr>
            </w:pPr>
          </w:p>
        </w:tc>
      </w:tr>
      <w:tr>
        <w:trPr>
          <w:trHeight w:val="188"/>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8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8,115</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1,941</w:t>
            </w:r>
          </w:p>
        </w:tc>
        <w:tc>
          <w:tcPr>
            <w:tcW w:w="0" w:type="dxa"/>
            <w:vAlign w:val="bottom"/>
          </w:tcPr>
          <w:p>
            <w:pPr>
              <w:spacing w:after="0"/>
              <w:rPr>
                <w:sz w:val="1"/>
                <w:szCs w:val="1"/>
                <w:color w:val="auto"/>
              </w:rPr>
            </w:pPr>
          </w:p>
        </w:tc>
      </w:tr>
      <w:tr>
        <w:trPr>
          <w:trHeight w:val="188"/>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23,292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20,639</w:t>
            </w:r>
          </w:p>
        </w:tc>
        <w:tc>
          <w:tcPr>
            <w:tcW w:w="0" w:type="dxa"/>
            <w:vAlign w:val="bottom"/>
          </w:tcPr>
          <w:p>
            <w:pPr>
              <w:spacing w:after="0"/>
              <w:rPr>
                <w:sz w:val="1"/>
                <w:szCs w:val="1"/>
                <w:color w:val="auto"/>
              </w:rPr>
            </w:pPr>
          </w:p>
        </w:tc>
      </w:tr>
      <w:tr>
        <w:trPr>
          <w:trHeight w:val="38"/>
        </w:trPr>
        <w:tc>
          <w:tcPr>
            <w:tcW w:w="8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Loss on change in fair value of ELOC program</w:t>
            </w:r>
          </w:p>
        </w:tc>
        <w:tc>
          <w:tcPr>
            <w:tcW w:w="9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1,901</w:t>
            </w:r>
          </w:p>
        </w:tc>
        <w:tc>
          <w:tcPr>
            <w:tcW w:w="0" w:type="dxa"/>
            <w:vAlign w:val="bottom"/>
          </w:tcPr>
          <w:p>
            <w:pPr>
              <w:spacing w:after="0"/>
              <w:rPr>
                <w:sz w:val="1"/>
                <w:szCs w:val="1"/>
                <w:color w:val="auto"/>
              </w:rPr>
            </w:pPr>
          </w:p>
        </w:tc>
      </w:tr>
      <w:tr>
        <w:trPr>
          <w:trHeight w:val="188"/>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Amortization of debt issuance cost</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3,532</w:t>
            </w:r>
          </w:p>
        </w:tc>
        <w:tc>
          <w:tcPr>
            <w:tcW w:w="0" w:type="dxa"/>
            <w:vAlign w:val="bottom"/>
          </w:tcPr>
          <w:p>
            <w:pPr>
              <w:spacing w:after="0"/>
              <w:rPr>
                <w:sz w:val="1"/>
                <w:szCs w:val="1"/>
                <w:color w:val="auto"/>
              </w:rPr>
            </w:pPr>
          </w:p>
        </w:tc>
      </w:tr>
      <w:tr>
        <w:trPr>
          <w:trHeight w:val="38"/>
        </w:trPr>
        <w:tc>
          <w:tcPr>
            <w:tcW w:w="8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Non-cash lease amortization</w:t>
            </w:r>
          </w:p>
        </w:tc>
        <w:tc>
          <w:tcPr>
            <w:tcW w:w="9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2,218</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2,383</w:t>
            </w:r>
          </w:p>
        </w:tc>
        <w:tc>
          <w:tcPr>
            <w:tcW w:w="0" w:type="dxa"/>
            <w:vAlign w:val="bottom"/>
          </w:tcPr>
          <w:p>
            <w:pPr>
              <w:spacing w:after="0"/>
              <w:rPr>
                <w:sz w:val="1"/>
                <w:szCs w:val="1"/>
                <w:color w:val="auto"/>
              </w:rPr>
            </w:pPr>
          </w:p>
        </w:tc>
      </w:tr>
      <w:tr>
        <w:trPr>
          <w:trHeight w:val="188"/>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Foreign currency gain/loss from remeasurement</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8"/>
        </w:trPr>
        <w:tc>
          <w:tcPr>
            <w:tcW w:w="8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 in fair value of contingent acquisition liabilities</w:t>
            </w:r>
          </w:p>
        </w:tc>
        <w:tc>
          <w:tcPr>
            <w:tcW w:w="9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1,724</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Loss on early extinguishment of debt</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15,587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837</w:t>
            </w:r>
          </w:p>
        </w:tc>
        <w:tc>
          <w:tcPr>
            <w:tcW w:w="0" w:type="dxa"/>
            <w:vAlign w:val="bottom"/>
          </w:tcPr>
          <w:p>
            <w:pPr>
              <w:spacing w:after="0"/>
              <w:rPr>
                <w:sz w:val="1"/>
                <w:szCs w:val="1"/>
                <w:color w:val="auto"/>
              </w:rPr>
            </w:pPr>
          </w:p>
        </w:tc>
      </w:tr>
      <w:tr>
        <w:trPr>
          <w:trHeight w:val="38"/>
        </w:trPr>
        <w:tc>
          <w:tcPr>
            <w:tcW w:w="8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income taxes</w:t>
            </w:r>
          </w:p>
        </w:tc>
        <w:tc>
          <w:tcPr>
            <w:tcW w:w="9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(11,494)</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net</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0" w:type="dxa"/>
            <w:vAlign w:val="bottom"/>
          </w:tcPr>
          <w:p>
            <w:pPr>
              <w:spacing w:after="0"/>
              <w:rPr>
                <w:sz w:val="1"/>
                <w:szCs w:val="1"/>
                <w:color w:val="auto"/>
              </w:rPr>
            </w:pPr>
          </w:p>
        </w:tc>
      </w:tr>
      <w:tr>
        <w:trPr>
          <w:trHeight w:val="38"/>
        </w:trPr>
        <w:tc>
          <w:tcPr>
            <w:tcW w:w="8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9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Accounts receivable, net</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38"/>
        </w:trPr>
        <w:tc>
          <w:tcPr>
            <w:tcW w:w="8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Other current assets</w:t>
            </w:r>
          </w:p>
        </w:tc>
        <w:tc>
          <w:tcPr>
            <w:tcW w:w="9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(3,049)</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0" w:type="dxa"/>
            <w:vAlign w:val="bottom"/>
          </w:tcPr>
          <w:p>
            <w:pPr>
              <w:spacing w:after="0"/>
              <w:rPr>
                <w:sz w:val="1"/>
                <w:szCs w:val="1"/>
                <w:color w:val="auto"/>
              </w:rPr>
            </w:pPr>
          </w:p>
        </w:tc>
      </w:tr>
      <w:tr>
        <w:trPr>
          <w:trHeight w:val="188"/>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Contract assets</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(9,987)</w:t>
            </w:r>
          </w:p>
        </w:tc>
        <w:tc>
          <w:tcPr>
            <w:tcW w:w="0" w:type="dxa"/>
            <w:vAlign w:val="bottom"/>
          </w:tcPr>
          <w:p>
            <w:pPr>
              <w:spacing w:after="0"/>
              <w:rPr>
                <w:sz w:val="1"/>
                <w:szCs w:val="1"/>
                <w:color w:val="auto"/>
              </w:rPr>
            </w:pPr>
          </w:p>
        </w:tc>
      </w:tr>
      <w:tr>
        <w:trPr>
          <w:trHeight w:val="38"/>
        </w:trPr>
        <w:tc>
          <w:tcPr>
            <w:tcW w:w="8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Other non-current assets</w:t>
            </w:r>
          </w:p>
        </w:tc>
        <w:tc>
          <w:tcPr>
            <w:tcW w:w="9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(1,198)</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w:t>
            </w:r>
          </w:p>
        </w:tc>
        <w:tc>
          <w:tcPr>
            <w:tcW w:w="0" w:type="dxa"/>
            <w:vAlign w:val="bottom"/>
          </w:tcPr>
          <w:p>
            <w:pPr>
              <w:spacing w:after="0"/>
              <w:rPr>
                <w:sz w:val="1"/>
                <w:szCs w:val="1"/>
                <w:color w:val="auto"/>
              </w:rPr>
            </w:pPr>
          </w:p>
        </w:tc>
      </w:tr>
      <w:tr>
        <w:trPr>
          <w:trHeight w:val="188"/>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Accounts payable</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w:t>
            </w:r>
          </w:p>
        </w:tc>
        <w:tc>
          <w:tcPr>
            <w:tcW w:w="0" w:type="dxa"/>
            <w:vAlign w:val="bottom"/>
          </w:tcPr>
          <w:p>
            <w:pPr>
              <w:spacing w:after="0"/>
              <w:rPr>
                <w:sz w:val="1"/>
                <w:szCs w:val="1"/>
                <w:color w:val="auto"/>
              </w:rPr>
            </w:pPr>
          </w:p>
        </w:tc>
      </w:tr>
      <w:tr>
        <w:trPr>
          <w:trHeight w:val="38"/>
        </w:trPr>
        <w:tc>
          <w:tcPr>
            <w:tcW w:w="8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Accrued liabilities</w:t>
            </w:r>
          </w:p>
        </w:tc>
        <w:tc>
          <w:tcPr>
            <w:tcW w:w="9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(2,058)</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1,906</w:t>
            </w:r>
          </w:p>
        </w:tc>
        <w:tc>
          <w:tcPr>
            <w:tcW w:w="0" w:type="dxa"/>
            <w:vAlign w:val="bottom"/>
          </w:tcPr>
          <w:p>
            <w:pPr>
              <w:spacing w:after="0"/>
              <w:rPr>
                <w:sz w:val="1"/>
                <w:szCs w:val="1"/>
                <w:color w:val="auto"/>
              </w:rPr>
            </w:pPr>
          </w:p>
        </w:tc>
      </w:tr>
      <w:tr>
        <w:trPr>
          <w:trHeight w:val="188"/>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8"/>
        </w:trPr>
        <w:tc>
          <w:tcPr>
            <w:tcW w:w="8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9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(2,612)</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(2,772)</w:t>
            </w:r>
          </w:p>
        </w:tc>
        <w:tc>
          <w:tcPr>
            <w:tcW w:w="0" w:type="dxa"/>
            <w:vAlign w:val="bottom"/>
          </w:tcPr>
          <w:p>
            <w:pPr>
              <w:spacing w:after="0"/>
              <w:rPr>
                <w:sz w:val="1"/>
                <w:szCs w:val="1"/>
                <w:color w:val="auto"/>
              </w:rPr>
            </w:pPr>
          </w:p>
        </w:tc>
      </w:tr>
      <w:tr>
        <w:trPr>
          <w:trHeight w:val="188"/>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Deferred revenue</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(8,993)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(5,532)</w:t>
            </w:r>
          </w:p>
        </w:tc>
        <w:tc>
          <w:tcPr>
            <w:tcW w:w="0" w:type="dxa"/>
            <w:vAlign w:val="bottom"/>
          </w:tcPr>
          <w:p>
            <w:pPr>
              <w:spacing w:after="0"/>
              <w:rPr>
                <w:sz w:val="1"/>
                <w:szCs w:val="1"/>
                <w:color w:val="auto"/>
              </w:rPr>
            </w:pPr>
          </w:p>
        </w:tc>
      </w:tr>
      <w:tr>
        <w:trPr>
          <w:trHeight w:val="38"/>
        </w:trPr>
        <w:tc>
          <w:tcPr>
            <w:tcW w:w="8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5"/>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9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1,797</w:t>
            </w:r>
          </w:p>
        </w:tc>
        <w:tc>
          <w:tcPr>
            <w:tcW w:w="0" w:type="dxa"/>
            <w:vAlign w:val="bottom"/>
          </w:tcPr>
          <w:p>
            <w:pPr>
              <w:spacing w:after="0"/>
              <w:rPr>
                <w:sz w:val="1"/>
                <w:szCs w:val="1"/>
                <w:color w:val="auto"/>
              </w:rPr>
            </w:pPr>
          </w:p>
        </w:tc>
      </w:tr>
      <w:tr>
        <w:trPr>
          <w:trHeight w:val="181"/>
        </w:trPr>
        <w:tc>
          <w:tcPr>
            <w:tcW w:w="81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9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(75,755)</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(54,395)</w:t>
            </w:r>
          </w:p>
        </w:tc>
        <w:tc>
          <w:tcPr>
            <w:tcW w:w="0" w:type="dxa"/>
            <w:vAlign w:val="bottom"/>
          </w:tcPr>
          <w:p>
            <w:pPr>
              <w:spacing w:after="0"/>
              <w:rPr>
                <w:sz w:val="1"/>
                <w:szCs w:val="1"/>
                <w:color w:val="auto"/>
              </w:rPr>
            </w:pPr>
          </w:p>
        </w:tc>
      </w:tr>
      <w:tr>
        <w:trPr>
          <w:trHeight w:val="38"/>
        </w:trPr>
        <w:tc>
          <w:tcPr>
            <w:tcW w:w="81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8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used in investing activities:</w:t>
            </w: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8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9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0" w:type="dxa"/>
            <w:vAlign w:val="bottom"/>
          </w:tcPr>
          <w:p>
            <w:pPr>
              <w:spacing w:after="0"/>
              <w:rPr>
                <w:sz w:val="1"/>
                <w:szCs w:val="1"/>
                <w:color w:val="auto"/>
              </w:rPr>
            </w:pPr>
          </w:p>
        </w:tc>
      </w:tr>
      <w:tr>
        <w:trPr>
          <w:trHeight w:val="188"/>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Payment related to acquisitions, net of cash acquired</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(11,732)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8"/>
        </w:trPr>
        <w:tc>
          <w:tcPr>
            <w:tcW w:w="81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81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9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(12,292)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0" w:type="dxa"/>
            <w:vAlign w:val="bottom"/>
          </w:tcPr>
          <w:p>
            <w:pPr>
              <w:spacing w:after="0"/>
              <w:rPr>
                <w:sz w:val="1"/>
                <w:szCs w:val="1"/>
                <w:color w:val="auto"/>
              </w:rPr>
            </w:pPr>
          </w:p>
        </w:tc>
      </w:tr>
      <w:tr>
        <w:trPr>
          <w:trHeight w:val="179"/>
        </w:trPr>
        <w:tc>
          <w:tcPr>
            <w:tcW w:w="818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provided by financing activities:</w:t>
            </w:r>
          </w:p>
        </w:tc>
        <w:tc>
          <w:tcPr>
            <w:tcW w:w="9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Proceeds from the issuance of Series A Preferred Stock, net of issuance costs</w:t>
            </w:r>
          </w:p>
        </w:tc>
        <w:tc>
          <w:tcPr>
            <w:tcW w:w="9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24,942</w:t>
            </w:r>
          </w:p>
        </w:tc>
        <w:tc>
          <w:tcPr>
            <w:tcW w:w="0" w:type="dxa"/>
            <w:vAlign w:val="bottom"/>
          </w:tcPr>
          <w:p>
            <w:pPr>
              <w:spacing w:after="0"/>
              <w:rPr>
                <w:sz w:val="1"/>
                <w:szCs w:val="1"/>
                <w:color w:val="auto"/>
              </w:rPr>
            </w:pPr>
          </w:p>
        </w:tc>
      </w:tr>
      <w:tr>
        <w:trPr>
          <w:trHeight w:val="38"/>
        </w:trPr>
        <w:tc>
          <w:tcPr>
            <w:tcW w:w="8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Proceeds from sales of Class A common stock under the ELOC program, net of issuance costs</w:t>
            </w:r>
          </w:p>
        </w:tc>
        <w:tc>
          <w:tcPr>
            <w:tcW w:w="9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71,454</w:t>
            </w:r>
          </w:p>
        </w:tc>
        <w:tc>
          <w:tcPr>
            <w:tcW w:w="0" w:type="dxa"/>
            <w:vAlign w:val="bottom"/>
          </w:tcPr>
          <w:p>
            <w:pPr>
              <w:spacing w:after="0"/>
              <w:rPr>
                <w:sz w:val="1"/>
                <w:szCs w:val="1"/>
                <w:color w:val="auto"/>
              </w:rPr>
            </w:pPr>
          </w:p>
        </w:tc>
      </w:tr>
      <w:tr>
        <w:trPr>
          <w:trHeight w:val="188"/>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Proceeds from sales of Class A common stock under the Sales Agreement and Equity Distribution Agreement</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287,271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Proceeds from exercise of stock options and employee stock purchase plan</w:t>
            </w:r>
          </w:p>
        </w:tc>
        <w:tc>
          <w:tcPr>
            <w:tcW w:w="9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11,064</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8,837</w:t>
            </w:r>
          </w:p>
        </w:tc>
        <w:tc>
          <w:tcPr>
            <w:tcW w:w="0" w:type="dxa"/>
            <w:vAlign w:val="bottom"/>
          </w:tcPr>
          <w:p>
            <w:pPr>
              <w:spacing w:after="0"/>
              <w:rPr>
                <w:sz w:val="1"/>
                <w:szCs w:val="1"/>
                <w:color w:val="auto"/>
              </w:rPr>
            </w:pPr>
          </w:p>
        </w:tc>
      </w:tr>
      <w:tr>
        <w:trPr>
          <w:trHeight w:val="188"/>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Payment of financing costs associated with the Sales Agreement and Equity Distribution Agreement</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Proceeds from the issuance of debt, net of issuance costs</w:t>
            </w:r>
          </w:p>
        </w:tc>
        <w:tc>
          <w:tcPr>
            <w:tcW w:w="9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85,087</w:t>
            </w:r>
          </w:p>
        </w:tc>
        <w:tc>
          <w:tcPr>
            <w:tcW w:w="0" w:type="dxa"/>
            <w:vAlign w:val="bottom"/>
          </w:tcPr>
          <w:p>
            <w:pPr>
              <w:spacing w:after="0"/>
              <w:rPr>
                <w:sz w:val="1"/>
                <w:szCs w:val="1"/>
                <w:color w:val="auto"/>
              </w:rPr>
            </w:pPr>
          </w:p>
        </w:tc>
      </w:tr>
      <w:tr>
        <w:trPr>
          <w:trHeight w:val="188"/>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Payments on Term Loan and Amelia Debt</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(175,602)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(35,029)</w:t>
            </w:r>
          </w:p>
        </w:tc>
        <w:tc>
          <w:tcPr>
            <w:tcW w:w="0" w:type="dxa"/>
            <w:vAlign w:val="bottom"/>
          </w:tcPr>
          <w:p>
            <w:pPr>
              <w:spacing w:after="0"/>
              <w:rPr>
                <w:sz w:val="1"/>
                <w:szCs w:val="1"/>
                <w:color w:val="auto"/>
              </w:rPr>
            </w:pPr>
          </w:p>
        </w:tc>
      </w:tr>
      <w:tr>
        <w:trPr>
          <w:trHeight w:val="38"/>
        </w:trPr>
        <w:tc>
          <w:tcPr>
            <w:tcW w:w="8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Payment to settle contingent holdback liabilities from SYNQ3 acquisition</w:t>
            </w:r>
          </w:p>
        </w:tc>
        <w:tc>
          <w:tcPr>
            <w:tcW w:w="9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Payments on finance leases</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0" w:type="dxa"/>
            <w:vAlign w:val="bottom"/>
          </w:tcPr>
          <w:p>
            <w:pPr>
              <w:spacing w:after="0"/>
              <w:rPr>
                <w:sz w:val="1"/>
                <w:szCs w:val="1"/>
                <w:color w:val="auto"/>
              </w:rPr>
            </w:pPr>
          </w:p>
        </w:tc>
      </w:tr>
      <w:tr>
        <w:trPr>
          <w:trHeight w:val="37"/>
        </w:trPr>
        <w:tc>
          <w:tcPr>
            <w:tcW w:w="81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81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9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115,445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155,175</w:t>
            </w:r>
          </w:p>
        </w:tc>
        <w:tc>
          <w:tcPr>
            <w:tcW w:w="0" w:type="dxa"/>
            <w:vAlign w:val="bottom"/>
          </w:tcPr>
          <w:p>
            <w:pPr>
              <w:spacing w:after="0"/>
              <w:rPr>
                <w:sz w:val="1"/>
                <w:szCs w:val="1"/>
                <w:color w:val="auto"/>
              </w:rPr>
            </w:pPr>
          </w:p>
        </w:tc>
      </w:tr>
      <w:tr>
        <w:trPr>
          <w:trHeight w:val="181"/>
        </w:trPr>
        <w:tc>
          <w:tcPr>
            <w:tcW w:w="81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Effects of exchange rate changes on cash</w:t>
            </w:r>
          </w:p>
        </w:tc>
        <w:tc>
          <w:tcPr>
            <w:tcW w:w="9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8"/>
        </w:trPr>
        <w:tc>
          <w:tcPr>
            <w:tcW w:w="81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81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Net change in cash, cash equivalents, and restricted cash equivalents</w:t>
            </w:r>
          </w:p>
        </w:tc>
        <w:tc>
          <w:tcPr>
            <w:tcW w:w="9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27,382</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100,446</w:t>
            </w:r>
          </w:p>
        </w:tc>
        <w:tc>
          <w:tcPr>
            <w:tcW w:w="0" w:type="dxa"/>
            <w:vAlign w:val="bottom"/>
          </w:tcPr>
          <w:p>
            <w:pPr>
              <w:spacing w:after="0"/>
              <w:rPr>
                <w:sz w:val="1"/>
                <w:szCs w:val="1"/>
                <w:color w:val="auto"/>
              </w:rPr>
            </w:pPr>
          </w:p>
        </w:tc>
      </w:tr>
      <w:tr>
        <w:trPr>
          <w:trHeight w:val="188"/>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equivalents, beginning of period</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109,035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9,475</w:t>
            </w:r>
          </w:p>
        </w:tc>
        <w:tc>
          <w:tcPr>
            <w:tcW w:w="0" w:type="dxa"/>
            <w:vAlign w:val="bottom"/>
          </w:tcPr>
          <w:p>
            <w:pPr>
              <w:spacing w:after="0"/>
              <w:rPr>
                <w:sz w:val="1"/>
                <w:szCs w:val="1"/>
                <w:color w:val="auto"/>
              </w:rPr>
            </w:pPr>
          </w:p>
        </w:tc>
      </w:tr>
      <w:tr>
        <w:trPr>
          <w:trHeight w:val="38"/>
        </w:trPr>
        <w:tc>
          <w:tcPr>
            <w:tcW w:w="81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equivalents, end of period</w:t>
            </w:r>
          </w:p>
        </w:tc>
        <w:tc>
          <w:tcPr>
            <w:tcW w:w="900" w:type="dxa"/>
            <w:vAlign w:val="bottom"/>
            <w:tcBorders>
              <w:bottom w:val="single" w:sz="8" w:color="auto"/>
            </w:tcBorders>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136,417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109,921</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ectPr>
          <w:pgSz w:w="11900" w:h="16838" w:orient="portrait"/>
          <w:cols w:equalWidth="0" w:num="1">
            <w:col w:w="11240"/>
          </w:cols>
          <w:pgMar w:left="320" w:top="331"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91440</wp:posOffset>
            </wp:positionV>
            <wp:extent cx="716026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Reconciliation to amounts on the condensed consolidated balance sheets:</w:t>
            </w:r>
          </w:p>
        </w:tc>
        <w:tc>
          <w:tcPr>
            <w:tcW w:w="5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50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135,606</w:t>
            </w:r>
          </w:p>
        </w:tc>
        <w:tc>
          <w:tcPr>
            <w:tcW w:w="100" w:type="dxa"/>
            <w:vAlign w:val="bottom"/>
          </w:tcPr>
          <w:p>
            <w:pPr>
              <w:spacing w:after="0"/>
              <w:rPr>
                <w:sz w:val="19"/>
                <w:szCs w:val="19"/>
                <w:color w:val="auto"/>
              </w:rPr>
            </w:pPr>
          </w:p>
        </w:tc>
        <w:tc>
          <w:tcPr>
            <w:tcW w:w="50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96,146</w:t>
            </w:r>
          </w:p>
        </w:tc>
        <w:tc>
          <w:tcPr>
            <w:tcW w:w="0" w:type="dxa"/>
            <w:vAlign w:val="bottom"/>
          </w:tcPr>
          <w:p>
            <w:pPr>
              <w:spacing w:after="0"/>
              <w:rPr>
                <w:sz w:val="1"/>
                <w:szCs w:val="1"/>
                <w:color w:val="auto"/>
              </w:rPr>
            </w:pPr>
          </w:p>
        </w:tc>
      </w:tr>
      <w:tr>
        <w:trPr>
          <w:trHeight w:val="248"/>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Non-current portion of restricted cash equivalents</w:t>
            </w:r>
          </w:p>
        </w:tc>
        <w:tc>
          <w:tcPr>
            <w:tcW w:w="5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w:t>
            </w: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13,775</w:t>
            </w:r>
          </w:p>
        </w:tc>
        <w:tc>
          <w:tcPr>
            <w:tcW w:w="0" w:type="dxa"/>
            <w:vAlign w:val="bottom"/>
          </w:tcPr>
          <w:p>
            <w:pPr>
              <w:spacing w:after="0"/>
              <w:rPr>
                <w:sz w:val="1"/>
                <w:szCs w:val="1"/>
                <w:color w:val="auto"/>
              </w:rPr>
            </w:pPr>
          </w:p>
        </w:tc>
      </w:tr>
      <w:tr>
        <w:trPr>
          <w:trHeight w:val="178"/>
        </w:trPr>
        <w:tc>
          <w:tcPr>
            <w:tcW w:w="8180" w:type="dxa"/>
            <w:vAlign w:val="bottom"/>
          </w:tcPr>
          <w:p>
            <w:pPr>
              <w:ind w:left="500"/>
              <w:spacing w:after="0" w:line="178" w:lineRule="exact"/>
              <w:rPr>
                <w:sz w:val="20"/>
                <w:szCs w:val="20"/>
                <w:color w:val="auto"/>
              </w:rPr>
            </w:pPr>
            <w:r>
              <w:rPr>
                <w:rFonts w:ascii="Times New Roman" w:cs="Times New Roman" w:eastAsia="Times New Roman" w:hAnsi="Times New Roman"/>
                <w:sz w:val="16"/>
                <w:szCs w:val="16"/>
                <w:color w:val="auto"/>
              </w:rPr>
              <w:t>Total cash, cash equivalents, and restricted cash equivalents shown in the condensed consolidated statements of cash</w:t>
            </w: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81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flows</w:t>
            </w:r>
          </w:p>
        </w:tc>
        <w:tc>
          <w:tcPr>
            <w:tcW w:w="500" w:type="dxa"/>
            <w:vAlign w:val="bottom"/>
            <w:vMerge w:val="restart"/>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136,417</w:t>
            </w:r>
          </w:p>
        </w:tc>
        <w:tc>
          <w:tcPr>
            <w:tcW w:w="100" w:type="dxa"/>
            <w:vAlign w:val="bottom"/>
          </w:tcPr>
          <w:p>
            <w:pPr>
              <w:spacing w:after="0"/>
              <w:rPr>
                <w:sz w:val="18"/>
                <w:szCs w:val="18"/>
                <w:color w:val="auto"/>
              </w:rPr>
            </w:pPr>
          </w:p>
        </w:tc>
        <w:tc>
          <w:tcPr>
            <w:tcW w:w="500" w:type="dxa"/>
            <w:vAlign w:val="bottom"/>
            <w:vMerge w:val="restart"/>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109,921</w:t>
            </w:r>
          </w:p>
        </w:tc>
        <w:tc>
          <w:tcPr>
            <w:tcW w:w="0" w:type="dxa"/>
            <w:vAlign w:val="bottom"/>
          </w:tcPr>
          <w:p>
            <w:pPr>
              <w:spacing w:after="0"/>
              <w:rPr>
                <w:sz w:val="1"/>
                <w:szCs w:val="1"/>
                <w:color w:val="auto"/>
              </w:rPr>
            </w:pPr>
          </w:p>
        </w:tc>
      </w:tr>
      <w:tr>
        <w:trPr>
          <w:trHeight w:val="69"/>
        </w:trPr>
        <w:tc>
          <w:tcPr>
            <w:tcW w:w="8180" w:type="dxa"/>
            <w:vAlign w:val="bottom"/>
          </w:tcPr>
          <w:p>
            <w:pPr>
              <w:spacing w:after="0"/>
              <w:rPr>
                <w:sz w:val="5"/>
                <w:szCs w:val="5"/>
                <w:color w:val="auto"/>
              </w:rPr>
            </w:pPr>
          </w:p>
        </w:tc>
        <w:tc>
          <w:tcPr>
            <w:tcW w:w="500" w:type="dxa"/>
            <w:vAlign w:val="bottom"/>
            <w:tcBorders>
              <w:bottom w:val="single" w:sz="8" w:color="auto"/>
            </w:tcBorders>
            <w:vMerge w:val="continue"/>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Borders>
              <w:bottom w:val="single" w:sz="8" w:color="auto"/>
            </w:tcBorders>
            <w:vMerge w:val="continue"/>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81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Cash paid for interest</w:t>
            </w:r>
          </w:p>
        </w:tc>
        <w:tc>
          <w:tcPr>
            <w:tcW w:w="500" w:type="dxa"/>
            <w:vAlign w:val="bottom"/>
            <w:tcBorders>
              <w:bottom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4,448</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7,945</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50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1,677</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1,645</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81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Conversion of Series A Preferred Stock to Class A common stock</w:t>
            </w:r>
          </w:p>
        </w:tc>
        <w:tc>
          <w:tcPr>
            <w:tcW w:w="500" w:type="dxa"/>
            <w:vAlign w:val="bottom"/>
            <w:tcBorders>
              <w:bottom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14,187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10,555</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Issuance of Class A Common Stock to settle commitment shares related to the ELOC program</w:t>
            </w:r>
          </w:p>
        </w:tc>
        <w:tc>
          <w:tcPr>
            <w:tcW w:w="50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Issuance of Class A Common Stock to settle obligations under Amelia Debt</w:t>
            </w:r>
          </w:p>
        </w:tc>
        <w:tc>
          <w:tcPr>
            <w:tcW w:w="500" w:type="dxa"/>
            <w:vAlign w:val="bottom"/>
            <w:tcBorders>
              <w:bottom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11,817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Issuance of Class A Common Stock to settle contingent holdback consideration of SYNQ3 acquisition</w:t>
            </w:r>
          </w:p>
        </w:tc>
        <w:tc>
          <w:tcPr>
            <w:tcW w:w="50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Deferred offering costs reclassified to additional paid-in capital</w:t>
            </w:r>
          </w:p>
        </w:tc>
        <w:tc>
          <w:tcPr>
            <w:tcW w:w="500" w:type="dxa"/>
            <w:vAlign w:val="bottom"/>
            <w:tcBorders>
              <w:bottom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Non-cash debt discount</w:t>
            </w:r>
          </w:p>
        </w:tc>
        <w:tc>
          <w:tcPr>
            <w:tcW w:w="50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4,136</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Property and equipment acquired under accrued liabilities</w:t>
            </w:r>
          </w:p>
        </w:tc>
        <w:tc>
          <w:tcPr>
            <w:tcW w:w="500" w:type="dxa"/>
            <w:vAlign w:val="bottom"/>
            <w:tcBorders>
              <w:bottom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Fair value of Class A common stock and deferred equity consideration issued for SYNQ3 acquisition</w:t>
            </w:r>
          </w:p>
        </w:tc>
        <w:tc>
          <w:tcPr>
            <w:tcW w:w="50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9,687</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Fair value of contingent earnout consideration under SYNQ3 and Amelia acquisitions</w:t>
            </w:r>
          </w:p>
        </w:tc>
        <w:tc>
          <w:tcPr>
            <w:tcW w:w="500" w:type="dxa"/>
            <w:vAlign w:val="bottom"/>
            <w:tcBorders>
              <w:bottom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73,236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Fair value of contingent holdback consideration under SYNQ3 acquisition</w:t>
            </w:r>
          </w:p>
        </w:tc>
        <w:tc>
          <w:tcPr>
            <w:tcW w:w="50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Fair value of deferred cash consideration under other acquisition</w:t>
            </w:r>
          </w:p>
        </w:tc>
        <w:tc>
          <w:tcPr>
            <w:tcW w:w="500" w:type="dxa"/>
            <w:vAlign w:val="bottom"/>
            <w:tcBorders>
              <w:bottom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Nature of Operations</w:t>
      </w:r>
    </w:p>
    <w:p>
      <w:pPr>
        <w:spacing w:after="0" w:line="21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SoundHound AI, Inc. (“we," "us," "our," "SoundHound” or the “Company”) turns sound into understanding and actionable meaning. SoundHound’s technology applications enable humans to interact with the things around them in the same way they interact with each other: by speaking naturally to mobile phones, cars, televisions, music speakers, coffee machines, and every other part of the emerging “connected” world. SoundHound's voice AI platform enables product creators to develop their own voice interfaces with their customers. The SoundHound Chat AI voice assistant allows businesses and brands to provide a next-generation voice experience for their users, seamlessly integrating Generative AI and a mix of real-time information domains. Houndify is an open-access platform that allows developers to leverage SoundHound’s Voice AI technology. The Company has developed a range of proprietary technologies on our voice AI platform, including Speech-to-Meaning, Deep Meaning Understanding, Collective AI, Dynamic Interaction and SoundHound Chat AI. The SoundHound music app allows customers to identify and play songs by singing or humming into the smartphone’s microphone, or by identifying the sound playing in the background from external sources. SoundHound also provides edge, cloud and hybrid (Edge+Cloud) connectivity solutions that allow brands to optimize their voice-enabled products and devices with options ranging from fully-embedded to exclusively cloud-connected.</w:t>
      </w:r>
    </w:p>
    <w:p>
      <w:pPr>
        <w:spacing w:after="0" w:line="19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January 3, 2024, the Company completed the acquisition of Synq3, Inc. ("SYNQ3") in a cash and stock transaction. On June 14, 2024, the Company completed an immaterial acquisition in a cash transaction. On August 6, 2024, the Company completed the acquisition of Amelia Holdings, Inc. ("Amelia") in a cash and stock transaction. Refer to Note 3 for additional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Going Concern</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Since inception, the Company has generated recurring losses as well as negative operating cash flows and reported a net loss of $21.8 million and $92.1 million, respectively, for the three and nine months ended September 30, 2024. As of September 30, 2024, the Company had an accumulated deficit of $684.5 million. Management expects to continue to incur additional substantial losses in the foreseeable future. The Company has historically funded its operations primarily through equity or debt financings.</w:t>
      </w:r>
    </w:p>
    <w:p>
      <w:pPr>
        <w:spacing w:after="0" w:line="18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Total unrestricted cash and cash equivalents on hand as of September 30, 2024 was $135.6 million. Although the Company has incurred recurring losses each year since its inception, the Company expects it will be able to fund its operations for at least the next twelve months from the date these condensed consolidated financial statements are issued. The Company may seek funding through additional debt or equity financing arrangements to continue financing its operations. Refer to Note 18 for information regarding the Company's equity financing activity subsequent to September 30, 2024. The Company's condensed consolidated financial statements have been prepared assuming the Company will continue as a going concern, which contemplates, among other things, the realization of assets and satisfaction of liabilities in the normal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BASIS OF PRESENTATION AND SUMMARY OF SIGNIFICANT ACCOUNTING POLICIES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Basis of Presentation</w:t>
      </w:r>
    </w:p>
    <w:p>
      <w:pPr>
        <w:spacing w:after="0" w:line="14"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The (a) condensed consolidated balance sheet as of December 31, 2023, which has been derived from audited financial statements as filed in the Company’s Form 10-K, which was originally filed with the Securities and Exchange Commission ("SEC") on March 1, 2024 and (b) the unaudited interim condensed consolidated financial statements have been prepared in accordance with U.S. generally accepted accounting principles (“U.S. GAAP”) and applicable rules and regulations of the SEC regarding interim financial reporting. Any reference in these notes to applicable accounting guidance is meant to refer to the authoritative U.S. GAAP included in the Accounting Standards Codification (“ASC”), and Accounting Standards Update (“ASU”) issued by the Financial Accounting Standards Board (“FASB”). The unaudited interim condensed consolidated financial statements have been prepared on a basis consistent with the audited annual consolidated financial statements and in the opinion of management, all adjustments, consisting of normal recurring adjustments, considered necessary for a fair statement of its financial position as of September 30, 2024, and its results of operations for the three and nine months ended September 30, 2024, and 2023, and cash flows for the nine months ended September 30, 2024 and 2023 have been included. The results of operations for the three and nine months ended September 30, 2024 are not necessarily indicative of the results for the fiscal year ending December 31, 2024 or any future interim period.</w:t>
      </w:r>
    </w:p>
    <w:p>
      <w:pPr>
        <w:spacing w:after="0" w:line="1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Certain information and note disclosures normally included in annual financial statements prepared in accordance with generally accepted accounting principles have been condensed or omitted pursuant to those rules and regulations, although the Company believes that the disclosures made are adequate to make the information not misleading.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Significant Accounting Policies</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With the exception of the significant accounting policies related to the SYNQ3 Acquisition and Amelia Acquisition (each as defined in Note 3) which are disclosed below, there have been no material changes to our significant accounting policies disclosed in Note 2 - Basis of Presentation and Summary of Significant Accounting Policies of the Notes to the Consolidated Financial Statements included in our Annual Report on Form 10-K for the fiscal year ended December 31,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Reclassification</w:t>
      </w:r>
    </w:p>
    <w:p>
      <w:pPr>
        <w:spacing w:after="0" w:line="21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Certain accounts in the prior year condensed consolidated financial statements were reclassified to conform with the current year presentation. The reclassification had an immaterial impact on our consolidated balance sheet and statements of operations and comprehensive loss in the prior year period.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Use of Estimates</w:t>
      </w:r>
    </w:p>
    <w:p>
      <w:pPr>
        <w:spacing w:after="0" w:line="21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preparation of consolidated financial statements in conformity with U.S. GAAP requires management to make estimates and judgments that affect the amounts reported and disclosures in the consolidated financial statements and accompanying notes. Such estimates include revenue recognition, allowance for credit losses, accrued liabilities, derivative and warrant liabilities, calculation of the incremental borrowing rate, financial instruments recorded at fair value on a recurring basis, the accounting for business combinations and allocating purchase price, valuation and estimating the useful life of identifiable intangible assets, probability of achievement of revenue estimates related to contingent earnout consideration and performance-based equity awards, valuation of deferred tax assets and uncertain tax positions and the fair value of common stock and other assumptions used to measure stock-based compensation expense. In connection with the measurement period for the acquisition of SYNQ3, management revised certain significant estimates during the nine months ended September 30, 2024, which include, but are not limited to, the recognition and measurement of assumed contingent liabilities and deferred and contingent holdback consideration. There was no measurement period adjustment for the previous acquisitions during the three months ended September 30, 2024. The Company bases its estimates on historical experience, the current economic environment, and on assumptions it believes are reasonable under the circumstances. The Company adjusts such estimates and assumptions when facts and circumstances dictate. Changes in those estimates resulting from changes in the economic environment will be reflected in the financial statements in future periods. Actual results could differ materially from those estimates.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Segment Information</w:t>
      </w:r>
    </w:p>
    <w:p>
      <w:pPr>
        <w:spacing w:after="0" w:line="2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has determined that the Chief Executive Officer is its chief operating decision maker. The Company’s Chief Executive Officer reviews discrete financial information on a consolidated basis for purposes of allocating resources and evaluating financial performance. Accordingly, the Company has determined that it operates as a single reportable segment.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Concentrations of Credit Risk and Other Risks and Uncertainties</w:t>
      </w:r>
    </w:p>
    <w:p>
      <w:pPr>
        <w:spacing w:after="0" w:line="2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principally of cash and cash equivalents, the balances of which frequently exceed federally insured limits. The Company regularly monitors its credit risk exposure and takes steps to mitigate the likelihood of these exposures resulting in actual loss.</w:t>
      </w:r>
    </w:p>
    <w:p>
      <w:pPr>
        <w:spacing w:after="0" w:line="17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As of September 30, 2024, there was no customer that exceeded 10% of the Company’s accounts receivable balance. As of December 31, 2023, accounts receivable balances due from Customer A, C, and D accounted for 40%, 32% and 15% of the Company’s accounts receivable balance, respectively.</w:t>
      </w:r>
    </w:p>
    <w:p>
      <w:pPr>
        <w:spacing w:after="0" w:line="16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of September 30, 2024, unbilled receivables from Customer A, C and E accounted for 35%, 35% and 11% of the Company’s unbilled receivables balance, respectively. As of December 31, 2023, unbilled receivables from Customer A, B and C accounted for 59%, 16% and 11% of the Company’s unbilled receivables balance, respectively.</w:t>
      </w:r>
    </w:p>
    <w:p>
      <w:pPr>
        <w:spacing w:after="0" w:line="17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For the three months ended September 30, 2024, Customer A accounted for 12% of the revenue. For the nine months ended September 30, 2024, Customer A and C accounted for 19% and 16% of the revenue, respectively.</w:t>
      </w:r>
    </w:p>
    <w:p>
      <w:pPr>
        <w:spacing w:after="0" w:line="16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For the three months ended September 30, 2023, Customer A accounted for 72% of revenue. For the nine months ended September 30, 2023, Customer A and D accounted for 46% and 20% of revenue, respectively.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Combinations and Contingent Consideration</w:t>
      </w:r>
    </w:p>
    <w:p>
      <w:pPr>
        <w:spacing w:after="0" w:line="23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Business combinations are accounted for using the acquisition method. The Company allocates the fair value of the purchase price of an acquisition to the assets acquired and liabilities assumed, based on their estimated fair values as of the date of acquisition. The excess of the fair value of the purchase price over the fair values of these net tangible and intangible assets acquired is recorded as goodwill. Management’s estimates of fair value are based upon assumptions believed to be reasonable, but the estimates and assumptions are inherently uncertain and subject to refinement. The estimates and assumptions used in valuing intangible assets include, but are not limited to, the amount and timing of projected future cash flows, discount rate used to determine the present value of these cash flows and asset lives. These estimates are inherently uncertain and, therefore, actual results may differ from the estimates made. As a result, during the measurement period of up to one year from the acquisition date, the Company may make adjustments to the assets acquired and liabilities assumed with the corresponding offset to goodwill. Upon the measurement period's conclusion or final determination of the fair value of the purchase price of an acquisition, whichever comes first, any subsequent adjustments are recorded to our condensed consolidated statements of operations in the period they are identified. Acquisition-related expenses are recognized separately from the business combination and expensed as incurred.</w:t>
      </w:r>
    </w:p>
    <w:p>
      <w:pPr>
        <w:spacing w:after="0" w:line="18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Certain business combinations include contingent consideration arrangements, which are generally based on achievement of future financial performance or future events. If it is determined the contingent consideration arrangement is not compensatory, the Company estimates fair value of contingent consideration payments as part of the initial purchase price and records the estimated fair value of contingent consideration as a liability in the condensed consolidated balance sheet. The Company reviews and assesses the estimated fair value of contingent consideration each reporting period, and the updated fair value could differ materially from the initial estimates. Adjustments to estimated fair value related to changes in fair value are reported as change in fair value of contingent acquisition liabilities in our condensed consolidated statements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Goodwill</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Goodwill represents the excess of the purchase price in a business combination over the fair value of net assets acquired. Goodwill is not amortized but tested annually for impairment or when indicators of impairment are present. The test for goodwill impairment involves a qualitative assessment of impairment indicators. If indicators are present, a quantitative test of impairment is performed. Goodwill impairment, if any, is determined by comparing the reporting unit’s fair value to its carrying value. An impairment loss is recognized in an amount equal to the excess of the reporting unit’s carrying value over its fair value, up to the amount of goodwill allocated to the reporting unit. The Company's policy is to review goodwill for impairment annually on October 1st unless a triggering event requires an analysis sooner. There was no goodwill impairment for the three and nine months ended September 30, 2024.</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Intangible Assets with Definite Lives</w:t>
      </w:r>
    </w:p>
    <w:p>
      <w:pPr>
        <w:spacing w:after="0" w:line="2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Company's intangible assets consist principally of developed technology, customer relationships, tradename, and conversation data. The Company assesses the appropriate method of amortization of the intangible assets that reflects the pattern in which the economic benefits of the intangible assets are consumed. The Company determined that a straight-line method of amortization was appropriate for its intangible assets. The remaining useful lives of long-lived assets are re-assessed periodically at the asset group level for any events and circumstances that may change the future cash flows expected to be generated from the long-lived asset or asset group.</w:t>
      </w:r>
    </w:p>
    <w:p>
      <w:pPr>
        <w:spacing w:after="0" w:line="18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Intangible assets with definite lives are tested for impairment whenever events or changes in circumstances indicate the carrying value of a specific asset or asset group may not be recoverable. We assess the recoverability of intangible assets with definite lives at the asset group level. Asset groups are determined based upon the lowest level for which identifiable cash flows are largely independent of the cash flows of other assets and liabilities. For the purpose of the recoverability test, we compare the total undiscounted future cash flows from the use and disposition of the assets with its net carrying amount. When the carrying value of the asset group exceeds the undiscounted future cash flows, the asset group is deemed to be impaired. The amount of the impairment loss represents the excess of the asset or asset group’s carrying value over its estimated fair value, which is generally determined based upon the present value of estimated future pre-tax cash flows that a market participant would expect from use and disposition of the long-lived asset or asset group. There were no intangible asset impairments in any of the periods presented.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Accounting Pronouncements — Not Yet Adopted</w:t>
      </w:r>
    </w:p>
    <w:p>
      <w:pPr>
        <w:spacing w:after="0" w:line="2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which expands disclosures about a public business entity's reportable segments and provides for more detailed information about a reportable segment's expenses. This guidance is effective for fiscal years beginning after December 15, 2023, and interim periods within fiscal years beginning after December 15, 2024, and requires retrospective application to all prior periods presented in the financial statements. Early adoption is permitted. Preliminarily, the Company will have increased disclosure requirements for its single reportable segment related to its significant segment expenses as well as additional information on its Chief Operating Decision Maker (“CODM”) and its use of reported measures. The Company will continue to evaluate this ASU to determine its impact on disclosures.</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December 2023, the Financial Accounting Standards Board issued Accounting Standards Update No. 2023-09, which requires more detailed income tax disclosures. The guidance requires entities to disclose disaggregated information about their effective tax rate reconciliation as well as expanded information on income taxes paid by jurisdiction. The disclosure requirements will be applied on a prospective basis, with the option to apply them retrospectively. The standard is effective for fiscal years beginning after December 15, 2024, with early adoption permitted. The Company is currently evaluating the impact that the updated standard will have on the financial statement disclosures.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BUSINESS COMBINATIONS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SYNQ3 Acquisition</w:t>
      </w:r>
    </w:p>
    <w:p>
      <w:pPr>
        <w:spacing w:after="0" w:line="23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On January 3, 2024 (the "SYNQ3 Acquisition Date"), the Company acquired all of the issued and outstanding equity of SYNQ3, a provider of voice AI and other technology solutions to the restaurant industry, for total preliminary purchase consideration of $15.7 million (the “SYNQ3 Acquisition”). The Company’s acquisition of SYNQ3 is expected to expand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its AI customer service solutions and create a Voice AI provider for restaurants. The acquisition is expected to significantly extend the Company's market reach and accelerate the deployment of generative AI capabilities to the industry.</w:t>
      </w:r>
    </w:p>
    <w:p>
      <w:pPr>
        <w:spacing w:after="0" w:line="17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total preliminary purchase consideration includes $3.9 million in cash paid and 5,755,910 in shares of the Company’s Class A Common Stock. The Company has also withheld purchase consideration of $0.5 million in cash and 1,179,514 shares of the Company’s Class A Common Stock, subject to customary net working capital adjustments, to partially secure the indemnification obligations of SYNQ3's former stockholders under the merger agreement and agreed to pay up to $0.8 million in cash and 1,434,936 in shares of the Company’s Class A Common Stock to certain former stockholders of SYNQ3 based upon the achievement of specified future milestones. On the SYNQ3 Acquisition Date, the Company also issued 2,033,156 restricted shares of the Company’s Class A Common Stock subject to time and performance-based vesting conditions. The fair value of the preliminary purchase consideration was $15.7 million.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Holdback</w:t>
      </w:r>
    </w:p>
    <w:p>
      <w:pPr>
        <w:spacing w:after="0" w:line="2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$0.5 million in cash and 1,179,514 shares of the Company's Class A Common Stock is being withheld for a period of 15 months (the "Holdback Amount"). The Company determined that there are two components to the Holdback Amount related to deferred consideration and contingent consideration, each comprised of cash and shares.</w:t>
      </w:r>
    </w:p>
    <w:p>
      <w:pPr>
        <w:spacing w:after="0" w:line="17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deferred cash holdback consideration of $0.1 million and the deferred share holdback consideration of 361,145 shares of the Company's Class A Common Stock (collectively the "Deferred Consideration") were not recognized as of the SYNQ3 Acquisition Date as such amounts were offset by the indemnification obligations of SYNQ3's former stockholders.</w:t>
      </w:r>
    </w:p>
    <w:p>
      <w:pPr>
        <w:spacing w:after="0" w:line="17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contingent cash and share holdback consideration to be issued is variable ("Contingent Holdback Consideration"). Final amounts to be issued will be reduced based upon future actions and settlements with third parties to resolve assumed contingent sales tax liabilities and certain other assumed contingent liabilities of SYNQ3 in connection with the SYNQ3 Acquisition. The Company accounted for the Contingent Holdback Consideration as a liability on the condensed consolidated balance sheet. As of the SYNQ3 Acquisition Date, the Contingent Holdback Consideration was estimated to be $0.4 million in aggregate and to be settled in $0.1 million cash and the remainder in shares of the Company’s Class A Common Stock. During the three months ended September 30, 2024, the Company issued 38,277 shares of the Company’s Class A Common Stock and paid an immaterial amount in cash from the Contingent Holdback Consideration to SYNQ3's former stockholders as a result of the net working capital adjustments settled during the quarter. The Contingent Holdback Consideration will be subsequently remeasured at each reporting date with changes in fair value recognized as a component of operating expense on the Company’s condensed consolidated statement of operations and comprehensive loss. See Note 17 to our unaudited condensed consolidated financial statements included within this report for more information on the fair value measurement of shares associated with the holdback.</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SYNQ3 Earnout Consideration</w:t>
      </w:r>
    </w:p>
    <w:p>
      <w:pPr>
        <w:spacing w:after="0" w:line="23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The Company also agreed to pay in aggregate up to $0.8 million in cash and 1,434,936 in shares of Class A Common Stock to certain stockholders of SYNQ3 based on tiered annual revenue targets for each fiscal year 2024, 2025 and 2026 (the “Contingent SYNQ3 Earnout Consideration”). The Company accounted for the Contingent SYNQ3 Earnout Consideration as a liability within contingent acquisition liabilities on the Company's condensed consolidated balance sheets and will subsequently remeasure the liability at each reporting date with changes in fair value recognized as a component of operating expense in the Company’s condensed consolidated statement of operations and comprehensive loss. As of the SYNQ3 Acquisition Date, the Contingent SYNQ3 Earnout Consideration was estimated to be $1.7 million in aggregate and to be settled in $0.2 million cash and the remainder in shares of the Company’s Class A Common Stock. See Note 17 to our unaudited condensed consolidated financial statements included within this report for more information on the fair value measurement of Contingent SYNQ3 Earnout Consideration.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awards</w:t>
      </w:r>
    </w:p>
    <w:p>
      <w:pPr>
        <w:spacing w:after="0" w:line="24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2,033,156 restricted shares of the Company's Class A Common Stock issued at the SYNQ3 Acquisition Date to certain continuing employees of SYNQ3 subject to time and performance-based vesting conditions was determined to be a separate transaction from the SYNQ3 Acquisition and therefore is excluded from purchase consideration. See Note 13 to</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our unaudited condensed consolidated financial statements included within this report for more information on stock-based awards issued in connection with the SYNQ3 Acquisition.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Preliminary purchase price allocation</w:t>
      </w:r>
    </w:p>
    <w:p>
      <w:pPr>
        <w:spacing w:after="0" w:line="24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preliminary purchase price allocation was performed as of January 3, 2024 and allocated to the assets acquired and liabilities assumed based on their respective fair values, as follows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Preliminary:</w:t>
            </w:r>
          </w:p>
        </w:tc>
      </w:tr>
      <w:tr>
        <w:trPr>
          <w:trHeight w:val="233"/>
        </w:trPr>
        <w:tc>
          <w:tcPr>
            <w:tcW w:w="8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January 3, 2024</w:t>
            </w:r>
          </w:p>
        </w:tc>
      </w:tr>
      <w:tr>
        <w:trPr>
          <w:trHeight w:val="25"/>
        </w:trPr>
        <w:tc>
          <w:tcPr>
            <w:tcW w:w="8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38"/>
        </w:trPr>
        <w:tc>
          <w:tcPr>
            <w:tcW w:w="8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w:t>
            </w: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3,910</w:t>
            </w:r>
          </w:p>
        </w:tc>
      </w:tr>
      <w:tr>
        <w:trPr>
          <w:trHeight w:val="240"/>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consideration</w:t>
            </w:r>
          </w:p>
        </w:tc>
        <w:tc>
          <w:tcPr>
            <w:tcW w:w="32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9,687</w:t>
            </w:r>
          </w:p>
        </w:tc>
      </w:tr>
      <w:tr>
        <w:trPr>
          <w:trHeight w:val="25"/>
        </w:trPr>
        <w:tc>
          <w:tcPr>
            <w:tcW w:w="8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45"/>
        </w:trPr>
        <w:tc>
          <w:tcPr>
            <w:tcW w:w="8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earnout consideration</w:t>
            </w:r>
          </w:p>
        </w:tc>
        <w:tc>
          <w:tcPr>
            <w:tcW w:w="3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w:t>
            </w:r>
          </w:p>
        </w:tc>
      </w:tr>
      <w:tr>
        <w:trPr>
          <w:trHeight w:val="240"/>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holdback consideration</w:t>
            </w:r>
          </w:p>
        </w:tc>
        <w:tc>
          <w:tcPr>
            <w:tcW w:w="32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r>
      <w:tr>
        <w:trPr>
          <w:trHeight w:val="25"/>
        </w:trPr>
        <w:tc>
          <w:tcPr>
            <w:tcW w:w="8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38"/>
        </w:trPr>
        <w:tc>
          <w:tcPr>
            <w:tcW w:w="89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 price</w:t>
            </w:r>
          </w:p>
        </w:tc>
        <w:tc>
          <w:tcPr>
            <w:tcW w:w="32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15,700</w:t>
            </w:r>
          </w:p>
        </w:tc>
      </w:tr>
      <w:tr>
        <w:trPr>
          <w:trHeight w:val="265"/>
        </w:trPr>
        <w:tc>
          <w:tcPr>
            <w:tcW w:w="89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45"/>
        </w:trPr>
        <w:tc>
          <w:tcPr>
            <w:tcW w:w="8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acquired:</w:t>
            </w:r>
          </w:p>
        </w:tc>
        <w:tc>
          <w:tcPr>
            <w:tcW w:w="3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39"/>
        </w:trPr>
        <w:tc>
          <w:tcPr>
            <w:tcW w:w="8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w:t>
            </w:r>
          </w:p>
        </w:tc>
        <w:tc>
          <w:tcPr>
            <w:tcW w:w="32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6"/>
        </w:trPr>
        <w:tc>
          <w:tcPr>
            <w:tcW w:w="8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45"/>
        </w:trPr>
        <w:tc>
          <w:tcPr>
            <w:tcW w:w="89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40"/>
        </w:trPr>
        <w:tc>
          <w:tcPr>
            <w:tcW w:w="8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expenses</w:t>
            </w:r>
          </w:p>
        </w:tc>
        <w:tc>
          <w:tcPr>
            <w:tcW w:w="32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5"/>
        </w:trPr>
        <w:tc>
          <w:tcPr>
            <w:tcW w:w="8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65"/>
        </w:trPr>
        <w:tc>
          <w:tcPr>
            <w:tcW w:w="89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Intangible assets</w:t>
            </w:r>
          </w:p>
        </w:tc>
        <w:tc>
          <w:tcPr>
            <w:tcW w:w="3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12,705</w:t>
            </w:r>
          </w:p>
        </w:tc>
      </w:tr>
      <w:tr>
        <w:trPr>
          <w:trHeight w:val="233"/>
        </w:trPr>
        <w:tc>
          <w:tcPr>
            <w:tcW w:w="8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identified assets acquired</w:t>
            </w:r>
          </w:p>
        </w:tc>
        <w:tc>
          <w:tcPr>
            <w:tcW w:w="32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14,498</w:t>
            </w:r>
          </w:p>
        </w:tc>
      </w:tr>
      <w:tr>
        <w:trPr>
          <w:trHeight w:val="25"/>
        </w:trPr>
        <w:tc>
          <w:tcPr>
            <w:tcW w:w="8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65"/>
        </w:trPr>
        <w:tc>
          <w:tcPr>
            <w:tcW w:w="89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r>
      <w:tr>
        <w:trPr>
          <w:trHeight w:val="240"/>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assumed:</w:t>
            </w: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5"/>
        </w:trPr>
        <w:tc>
          <w:tcPr>
            <w:tcW w:w="8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45"/>
        </w:trPr>
        <w:tc>
          <w:tcPr>
            <w:tcW w:w="89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r>
      <w:tr>
        <w:trPr>
          <w:trHeight w:val="240"/>
        </w:trPr>
        <w:tc>
          <w:tcPr>
            <w:tcW w:w="8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liabilities</w:t>
            </w:r>
          </w:p>
        </w:tc>
        <w:tc>
          <w:tcPr>
            <w:tcW w:w="32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3,609</w:t>
            </w:r>
          </w:p>
        </w:tc>
      </w:tr>
      <w:tr>
        <w:trPr>
          <w:trHeight w:val="25"/>
        </w:trPr>
        <w:tc>
          <w:tcPr>
            <w:tcW w:w="8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45"/>
        </w:trPr>
        <w:tc>
          <w:tcPr>
            <w:tcW w:w="89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40"/>
        </w:trPr>
        <w:tc>
          <w:tcPr>
            <w:tcW w:w="8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tax liability</w:t>
            </w:r>
          </w:p>
        </w:tc>
        <w:tc>
          <w:tcPr>
            <w:tcW w:w="32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5"/>
        </w:trPr>
        <w:tc>
          <w:tcPr>
            <w:tcW w:w="8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58"/>
        </w:trPr>
        <w:tc>
          <w:tcPr>
            <w:tcW w:w="8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32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4,837</w:t>
            </w:r>
          </w:p>
        </w:tc>
      </w:tr>
      <w:tr>
        <w:trPr>
          <w:trHeight w:val="245"/>
        </w:trPr>
        <w:tc>
          <w:tcPr>
            <w:tcW w:w="898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940" w:type="dxa"/>
            <w:vAlign w:val="bottom"/>
            <w:tcBorders>
              <w:top w:val="single" w:sz="8" w:color="auto"/>
            </w:tcBorders>
          </w:tcPr>
          <w:p>
            <w:pPr>
              <w:spacing w:after="0"/>
              <w:rPr>
                <w:sz w:val="21"/>
                <w:szCs w:val="21"/>
                <w:color w:val="auto"/>
              </w:rPr>
            </w:pPr>
          </w:p>
        </w:tc>
      </w:tr>
      <w:tr>
        <w:trPr>
          <w:trHeight w:val="265"/>
        </w:trPr>
        <w:tc>
          <w:tcPr>
            <w:tcW w:w="8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identifiable net assets acquired</w:t>
            </w: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9,661</w:t>
            </w:r>
          </w:p>
        </w:tc>
      </w:tr>
      <w:tr>
        <w:trPr>
          <w:trHeight w:val="258"/>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acquired on acquisition</w:t>
            </w: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6,039</w:t>
            </w:r>
          </w:p>
        </w:tc>
      </w:tr>
      <w:tr>
        <w:trPr>
          <w:trHeight w:val="20"/>
        </w:trPr>
        <w:tc>
          <w:tcPr>
            <w:tcW w:w="8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Goodwill recognized includes synergies expected to be achieved from the operations of the combined company and intangible assets that do not qualify for separate recognition. Expected synergies include both increased revenue opportunities and the cost savings from the planned integration of platform infrastructure, facilities, personnel, and systems. The transaction is considered a non-taxable business combination, and goodwill is not deductible for tax purposes.</w:t>
      </w:r>
    </w:p>
    <w:p>
      <w:pPr>
        <w:spacing w:after="0" w:line="19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recorded measurement period adjustments to decrease the deferred revenue by $0.1 million as the revenue recognition criteria had been met at the acquisition date, to increase the accrued liabilities by $1.9 million resulting from a pre-acquisition legal contingency, and to decrease the deferred tax liability assumed by $0.2 million. Refer to Note 7 to these condensed consolidated financial statements for more information on the loss contingencies. These measurement period adjustments resulted in a decrease of $0.1 million in deferred cash consideration, $0.6 million in deferred equity consideration, and $0.6 million in contingent holdback consideration in accordance with the merger agreement. As a result of the adjusted acquisition-date fair value of assets acquired and liabilities assumed, the Company recorded an increase of $0.3 million to the goodwill recognized. The measurement period adjustments were recorded in the consolidated financial statements as of and for the nine months ended September 30, 2024 and were made to reflect facts and circumstances that existed as of the SYNQ3 Acquisition Date. There was no measurement period adjustment recorded during the three months ended September 30, 2024.</w:t>
      </w:r>
    </w:p>
    <w:p>
      <w:pPr>
        <w:sectPr>
          <w:pgSz w:w="11900" w:h="16838" w:orient="portrait"/>
          <w:cols w:equalWidth="0" w:num="1">
            <w:col w:w="11240"/>
          </w:cols>
          <w:pgMar w:left="320" w:top="331" w:right="3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preliminary purchase price allocation has not been finalized as of September 30, 2024 primarily due to the final assessment of the fair values of the intangible assets, contingent sales tax liability assumed, and fair value of the contingent earnout consideration. The fair value estimates of assets acquired and liabilities assumed is pending the completion of various items, including obtaining further information regarding the identification and valuation of all assets acquired and liabilities assumed, such as the contingent liabilities accrued for a pre-acquisition legal contingency. See Note 7 to our unaudited condensed consolidated financial statements included within this report for more information. Any adjustments to the estimates of purchase price allocation will be made in the periods in which the adjustments are determined, and the cumulative effect of such adjustments will be calculated as if the adjustments had been completed as of the acquisition date. The Company expects to finalize the purchase price allocation within 12 months from the SYNQ3 Acquisition Date.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2323"/>
        </w:rPr>
        <w:t xml:space="preserve">The following table summarizes the preliminary fair values of the identifiable intangible assets acquired </w:t>
      </w:r>
      <w:r>
        <w:rPr>
          <w:rFonts w:ascii="Times New Roman" w:cs="Times New Roman" w:eastAsia="Times New Roman" w:hAnsi="Times New Roman"/>
          <w:sz w:val="18"/>
          <w:szCs w:val="18"/>
          <w:color w:val="000000"/>
        </w:rPr>
        <w:t>(in thousands)</w:t>
      </w:r>
      <w:r>
        <w:rPr>
          <w:rFonts w:ascii="Times New Roman" w:cs="Times New Roman" w:eastAsia="Times New Roman" w:hAnsi="Times New Roman"/>
          <w:sz w:val="18"/>
          <w:szCs w:val="18"/>
          <w:color w:val="232323"/>
        </w:rPr>
        <w:t>:</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740" w:type="dxa"/>
            <w:vAlign w:val="bottom"/>
          </w:tcPr>
          <w:p>
            <w:pPr>
              <w:spacing w:after="0"/>
              <w:rPr>
                <w:sz w:val="20"/>
                <w:szCs w:val="20"/>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Useful life</w:t>
            </w:r>
          </w:p>
        </w:tc>
        <w:tc>
          <w:tcPr>
            <w:tcW w:w="220" w:type="dxa"/>
            <w:vAlign w:val="bottom"/>
          </w:tcPr>
          <w:p>
            <w:pPr>
              <w:spacing w:after="0"/>
              <w:rPr>
                <w:sz w:val="20"/>
                <w:szCs w:val="20"/>
                <w:color w:val="auto"/>
              </w:rPr>
            </w:pPr>
          </w:p>
        </w:tc>
        <w:tc>
          <w:tcPr>
            <w:tcW w:w="210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Preliminary fair value</w:t>
            </w:r>
          </w:p>
        </w:tc>
      </w:tr>
      <w:tr>
        <w:trPr>
          <w:trHeight w:val="265"/>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Intangible Assets:</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(in years)</w:t>
            </w:r>
          </w:p>
        </w:tc>
        <w:tc>
          <w:tcPr>
            <w:tcW w:w="220" w:type="dxa"/>
            <w:vAlign w:val="bottom"/>
          </w:tcPr>
          <w:p>
            <w:pPr>
              <w:spacing w:after="0"/>
              <w:rPr>
                <w:sz w:val="23"/>
                <w:szCs w:val="23"/>
                <w:color w:val="auto"/>
              </w:rPr>
            </w:pPr>
          </w:p>
        </w:tc>
        <w:tc>
          <w:tcPr>
            <w:tcW w:w="210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January 3, 2024</w:t>
            </w:r>
          </w:p>
        </w:tc>
      </w:tr>
      <w:tr>
        <w:trPr>
          <w:trHeight w:val="26"/>
        </w:trPr>
        <w:tc>
          <w:tcPr>
            <w:tcW w:w="674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38"/>
        </w:trPr>
        <w:tc>
          <w:tcPr>
            <w:tcW w:w="67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Developed technology</w:t>
            </w:r>
          </w:p>
        </w:tc>
        <w:tc>
          <w:tcPr>
            <w:tcW w:w="2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3.0</w:t>
            </w: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5,210</w:t>
            </w:r>
          </w:p>
        </w:tc>
      </w:tr>
      <w:tr>
        <w:trPr>
          <w:trHeight w:val="240"/>
        </w:trPr>
        <w:tc>
          <w:tcPr>
            <w:tcW w:w="6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Customer relationships</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4.0</w:t>
            </w:r>
          </w:p>
        </w:tc>
        <w:tc>
          <w:tcPr>
            <w:tcW w:w="220" w:type="dxa"/>
            <w:vAlign w:val="bottom"/>
          </w:tcPr>
          <w:p>
            <w:pPr>
              <w:spacing w:after="0"/>
              <w:rPr>
                <w:sz w:val="20"/>
                <w:szCs w:val="20"/>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w:t>
            </w:r>
          </w:p>
        </w:tc>
      </w:tr>
      <w:tr>
        <w:trPr>
          <w:trHeight w:val="25"/>
        </w:trPr>
        <w:tc>
          <w:tcPr>
            <w:tcW w:w="67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45"/>
        </w:trPr>
        <w:tc>
          <w:tcPr>
            <w:tcW w:w="67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Tradename</w:t>
            </w:r>
          </w:p>
        </w:tc>
        <w:tc>
          <w:tcPr>
            <w:tcW w:w="2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2.0</w:t>
            </w:r>
          </w:p>
        </w:tc>
        <w:tc>
          <w:tcPr>
            <w:tcW w:w="22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w:t>
            </w:r>
          </w:p>
        </w:tc>
      </w:tr>
      <w:tr>
        <w:trPr>
          <w:trHeight w:val="240"/>
        </w:trPr>
        <w:tc>
          <w:tcPr>
            <w:tcW w:w="6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Conversation data</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2.5</w:t>
            </w:r>
          </w:p>
        </w:tc>
        <w:tc>
          <w:tcPr>
            <w:tcW w:w="220" w:type="dxa"/>
            <w:vAlign w:val="bottom"/>
          </w:tcPr>
          <w:p>
            <w:pPr>
              <w:spacing w:after="0"/>
              <w:rPr>
                <w:sz w:val="20"/>
                <w:szCs w:val="20"/>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w:t>
            </w:r>
          </w:p>
        </w:tc>
      </w:tr>
      <w:tr>
        <w:trPr>
          <w:trHeight w:val="25"/>
        </w:trPr>
        <w:tc>
          <w:tcPr>
            <w:tcW w:w="674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83"/>
        </w:trPr>
        <w:tc>
          <w:tcPr>
            <w:tcW w:w="6740" w:type="dxa"/>
            <w:vAlign w:val="bottom"/>
            <w:tcBorders>
              <w:bottom w:val="single" w:sz="8" w:color="CCEEFF"/>
            </w:tcBorders>
            <w:shd w:val="clear" w:color="auto" w:fill="CCEEFF"/>
          </w:tcPr>
          <w:p>
            <w:pPr>
              <w:spacing w:after="0"/>
              <w:rPr>
                <w:sz w:val="24"/>
                <w:szCs w:val="24"/>
                <w:color w:val="auto"/>
              </w:rPr>
            </w:pPr>
          </w:p>
        </w:tc>
        <w:tc>
          <w:tcPr>
            <w:tcW w:w="21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12,705</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incurred $1.9 million in acquisition related expenses, of which zero and $0.8 million were incurred during the three and nine months ended September 30, 2024, respectively, and recorded as general and administration expenses in its condensed consolidated statements of operations and comprehensive loss.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Amelia Acquisition</w:t>
      </w:r>
    </w:p>
    <w:p>
      <w:pPr>
        <w:spacing w:after="0" w:line="23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On August 6, 2024 (the “Amelia Acquisition Date”), the Company acquired all of the issued and outstanding equity of Amelia Holdings, Inc. (the “Amelia Acquisition”), a privately-held conversational AI software company involved in the development and delivery of AI and automation solutions and related services to improve customer experience and optimize business outcomes. The Company’s acquisition of Amelia is expected to strengthen SoundHound’s position in voice and conversational AI and allow the Company to enter new industries such as healthcare, insurance, financial services, and retail, expanding its market reach.</w:t>
      </w:r>
    </w:p>
    <w:p>
      <w:pPr>
        <w:spacing w:after="0" w:line="20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The total preliminary purchase consideration includes 3,809,520 shares of the Company's Class A Common Stock issued to the selling shareholders. The Company also issued and deposited 2,149,530 shares of Class A Common Stock otherwise owed to the selling shareholders into an escrow account in order to partially secure the indemnification obligations of the selling shareholders to the Company under the purchase agreement (the “Escrow Consideration”). The fair value of equity issued as part of the consideration paid was determined on the basis of the closing market price of the Company’s shares on the Amelia Acquisition Date, which also incorporated a discount for lack of marketability rates caused by the trading restrictions due to the fact that the shares were not registered at issuance. for a six-month holding period. The Company also paid $8.4 million of cash for seller transaction expenses in connection with the closing of the Amelia Acquisition. The Company agreed to issue up to 16,822,429 shares to the selling shareholders based on achievement of certain revenue targets in fiscal years 2025 and 2026 (the "Amelia Contingent Earnout Consideration). The fair value of the preliminary purchase consideration was $103.9 million.</w:t>
      </w:r>
    </w:p>
    <w:p>
      <w:pPr>
        <w:spacing w:after="0" w:line="21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In connection with the Amelia Acquisition, the Company assumed the amended senior secured term loan facility from Amelia in an aggregate principal amount of $121.5 million (“Amelia Debt”). See Note 9 to our unaudited condensed consolidated financial statements included within this report for more information on the Amelia Debt.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Escrow Consideration</w:t>
      </w:r>
    </w:p>
    <w:p>
      <w:pPr>
        <w:spacing w:after="0" w:line="20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 accounted for the Escrow Consideration as equity-classified shares issued as part of the consideration transferred. The Company recorded an indemnification asset of $1.4 million under other non-current assets related to</w:t>
      </w:r>
    </w:p>
    <w:p>
      <w:pPr>
        <w:sectPr>
          <w:pgSz w:w="11900" w:h="16838" w:orient="portrait"/>
          <w:cols w:equalWidth="0" w:num="1">
            <w:col w:w="11240"/>
          </w:cols>
          <w:pgMar w:left="320" w:top="331"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assumed sales tax and litigation contingent liabilities that existed prior to the Amelia Acquisition Date and are covered by the Company’s indemnification rights provided by the sellers. Upon the settlement of any valid indemnification claims against the selling shareholders, the escrow agent will return a number of shares to the Company equal to the dollar value of the indemnified loss divided by the reference price of $5.35 as stipulated in the purchase agreement. The Company concluded that this variability in settlement value is a derivative that is requirement to be remeasured to fair value due to changes in stock price. This derivative did not have a material impact to the financial statements for the three and nine months ended September 30, 2024. Upon the expiration of the escrow period, any remaining shares within the escrow account will be released to the selling shareholders.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Amelia Earnout Consideration</w:t>
      </w:r>
    </w:p>
    <w:p>
      <w:pPr>
        <w:spacing w:after="0" w:line="20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Company also agreed to pay up to 16,822,429 in shares of Class A Common Stock to the selling shareholders based on achievement of certain annual revenue targets in fiscal years 2025 and 2026. The Company accounted for the Contingent Amelia Earnout Consideration as a liability within contingent acquisition liabilities on the Company's condensed consolidated balance sheets and will subsequently remeasure the liability at each reporting date with changes in fair value recognized as a component of operating expense in the Company’s condensed consolidated statement of operations and comprehensive loss. As of the Amelia Acquisition Date, the Contingent Amelia Earnout Consideration had an estimated fair value of $71.6 million. For the three and nine months ended September 30, 2024, the Company recognized a $0.5 million loss related to the Contingent Amelia Earnout Consideration, reflected in the change in fair value of contingent acquisition liabilities in the condensed consolidated statement of operations and comprehensive loss. See Note 17 to our unaudited condensed consolidated financial statements included within this report for more information on the fair value measurement of Contingent Amelia Earnout Consideration.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Preliminary purchase price allocation</w:t>
      </w:r>
    </w:p>
    <w:p>
      <w:pPr>
        <w:spacing w:after="0" w:line="24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preliminary purchase price allocation was performed as of August 6, 2024 and allocated to the assets acquired and liabilities assumed based on their respective fair values, as follows (in thousands):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Preliminary:</w:t>
            </w:r>
          </w:p>
        </w:tc>
      </w:tr>
      <w:tr>
        <w:trPr>
          <w:trHeight w:val="233"/>
        </w:trPr>
        <w:tc>
          <w:tcPr>
            <w:tcW w:w="8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August 6, 2024</w:t>
            </w:r>
          </w:p>
        </w:tc>
      </w:tr>
      <w:tr>
        <w:trPr>
          <w:trHeight w:val="25"/>
        </w:trPr>
        <w:tc>
          <w:tcPr>
            <w:tcW w:w="8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8"/>
        </w:trPr>
        <w:tc>
          <w:tcPr>
            <w:tcW w:w="8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w:t>
            </w: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8,407</w:t>
            </w:r>
          </w:p>
        </w:tc>
      </w:tr>
      <w:tr>
        <w:trPr>
          <w:trHeight w:val="240"/>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consideration</w:t>
            </w:r>
          </w:p>
        </w:tc>
        <w:tc>
          <w:tcPr>
            <w:tcW w:w="34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15,291</w:t>
            </w:r>
          </w:p>
        </w:tc>
      </w:tr>
      <w:tr>
        <w:trPr>
          <w:trHeight w:val="25"/>
        </w:trPr>
        <w:tc>
          <w:tcPr>
            <w:tcW w:w="8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45"/>
        </w:trPr>
        <w:tc>
          <w:tcPr>
            <w:tcW w:w="8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consideration in escrow</w:t>
            </w:r>
          </w:p>
        </w:tc>
        <w:tc>
          <w:tcPr>
            <w:tcW w:w="3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8,628</w:t>
            </w:r>
          </w:p>
        </w:tc>
      </w:tr>
      <w:tr>
        <w:trPr>
          <w:trHeight w:val="240"/>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earnout consideration</w:t>
            </w:r>
          </w:p>
        </w:tc>
        <w:tc>
          <w:tcPr>
            <w:tcW w:w="34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71,560</w:t>
            </w:r>
          </w:p>
        </w:tc>
      </w:tr>
      <w:tr>
        <w:trPr>
          <w:trHeight w:val="25"/>
        </w:trPr>
        <w:tc>
          <w:tcPr>
            <w:tcW w:w="8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8"/>
        </w:trPr>
        <w:tc>
          <w:tcPr>
            <w:tcW w:w="89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 price</w:t>
            </w:r>
          </w:p>
        </w:tc>
        <w:tc>
          <w:tcPr>
            <w:tcW w:w="34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103,886</w:t>
            </w:r>
          </w:p>
        </w:tc>
      </w:tr>
      <w:tr>
        <w:trPr>
          <w:trHeight w:val="265"/>
        </w:trPr>
        <w:tc>
          <w:tcPr>
            <w:tcW w:w="89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20" w:type="dxa"/>
            <w:vAlign w:val="bottom"/>
          </w:tcPr>
          <w:p>
            <w:pPr>
              <w:spacing w:after="0"/>
              <w:rPr>
                <w:sz w:val="23"/>
                <w:szCs w:val="23"/>
                <w:color w:val="auto"/>
              </w:rPr>
            </w:pPr>
          </w:p>
        </w:tc>
      </w:tr>
      <w:tr>
        <w:trPr>
          <w:trHeight w:val="245"/>
        </w:trPr>
        <w:tc>
          <w:tcPr>
            <w:tcW w:w="8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acquired:</w:t>
            </w:r>
          </w:p>
        </w:tc>
        <w:tc>
          <w:tcPr>
            <w:tcW w:w="3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r>
      <w:tr>
        <w:trPr>
          <w:trHeight w:val="239"/>
        </w:trPr>
        <w:tc>
          <w:tcPr>
            <w:tcW w:w="8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w:t>
            </w:r>
          </w:p>
        </w:tc>
      </w:tr>
      <w:tr>
        <w:trPr>
          <w:trHeight w:val="26"/>
        </w:trPr>
        <w:tc>
          <w:tcPr>
            <w:tcW w:w="8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45"/>
        </w:trPr>
        <w:tc>
          <w:tcPr>
            <w:tcW w:w="89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8,239</w:t>
            </w:r>
          </w:p>
        </w:tc>
      </w:tr>
      <w:tr>
        <w:trPr>
          <w:trHeight w:val="239"/>
        </w:trPr>
        <w:tc>
          <w:tcPr>
            <w:tcW w:w="8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34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w:t>
            </w:r>
          </w:p>
        </w:tc>
      </w:tr>
      <w:tr>
        <w:trPr>
          <w:trHeight w:val="26"/>
        </w:trPr>
        <w:tc>
          <w:tcPr>
            <w:tcW w:w="8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45"/>
        </w:trPr>
        <w:tc>
          <w:tcPr>
            <w:tcW w:w="89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Contract asset - current</w:t>
            </w:r>
          </w:p>
        </w:tc>
        <w:tc>
          <w:tcPr>
            <w:tcW w:w="3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4,090</w:t>
            </w:r>
          </w:p>
        </w:tc>
      </w:tr>
      <w:tr>
        <w:trPr>
          <w:trHeight w:val="239"/>
        </w:trPr>
        <w:tc>
          <w:tcPr>
            <w:tcW w:w="8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and equipment</w:t>
            </w:r>
          </w:p>
        </w:tc>
        <w:tc>
          <w:tcPr>
            <w:tcW w:w="34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6"/>
        </w:trPr>
        <w:tc>
          <w:tcPr>
            <w:tcW w:w="8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45"/>
        </w:trPr>
        <w:tc>
          <w:tcPr>
            <w:tcW w:w="89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Right-of-use assets</w:t>
            </w:r>
          </w:p>
        </w:tc>
        <w:tc>
          <w:tcPr>
            <w:tcW w:w="3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39"/>
        </w:trPr>
        <w:tc>
          <w:tcPr>
            <w:tcW w:w="8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w:t>
            </w:r>
          </w:p>
        </w:tc>
      </w:tr>
      <w:tr>
        <w:trPr>
          <w:trHeight w:val="26"/>
        </w:trPr>
        <w:tc>
          <w:tcPr>
            <w:tcW w:w="8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65"/>
        </w:trPr>
        <w:tc>
          <w:tcPr>
            <w:tcW w:w="89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Intangible assets</w:t>
            </w:r>
          </w:p>
        </w:tc>
        <w:tc>
          <w:tcPr>
            <w:tcW w:w="3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174,500</w:t>
            </w:r>
          </w:p>
        </w:tc>
      </w:tr>
      <w:tr>
        <w:trPr>
          <w:trHeight w:val="233"/>
        </w:trPr>
        <w:tc>
          <w:tcPr>
            <w:tcW w:w="8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identified assets acquired</w:t>
            </w:r>
          </w:p>
        </w:tc>
        <w:tc>
          <w:tcPr>
            <w:tcW w:w="34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192,095</w:t>
            </w:r>
          </w:p>
        </w:tc>
      </w:tr>
      <w:tr>
        <w:trPr>
          <w:trHeight w:val="25"/>
        </w:trPr>
        <w:tc>
          <w:tcPr>
            <w:tcW w:w="8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65"/>
        </w:trPr>
        <w:tc>
          <w:tcPr>
            <w:tcW w:w="89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920" w:type="dxa"/>
            <w:vAlign w:val="bottom"/>
            <w:shd w:val="clear" w:color="auto" w:fill="CCEEFF"/>
          </w:tcPr>
          <w:p>
            <w:pPr>
              <w:spacing w:after="0"/>
              <w:rPr>
                <w:sz w:val="23"/>
                <w:szCs w:val="23"/>
                <w:color w:val="auto"/>
              </w:rPr>
            </w:pPr>
          </w:p>
        </w:tc>
      </w:tr>
      <w:tr>
        <w:trPr>
          <w:trHeight w:val="240"/>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assumed:</w:t>
            </w:r>
          </w:p>
        </w:tc>
        <w:tc>
          <w:tcPr>
            <w:tcW w:w="3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5"/>
        </w:trPr>
        <w:tc>
          <w:tcPr>
            <w:tcW w:w="8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45"/>
        </w:trPr>
        <w:tc>
          <w:tcPr>
            <w:tcW w:w="89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14,839</w:t>
            </w:r>
          </w:p>
        </w:tc>
      </w:tr>
      <w:tr>
        <w:trPr>
          <w:trHeight w:val="240"/>
        </w:trPr>
        <w:tc>
          <w:tcPr>
            <w:tcW w:w="8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liabilities</w:t>
            </w:r>
          </w:p>
        </w:tc>
        <w:tc>
          <w:tcPr>
            <w:tcW w:w="34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11,420</w:t>
            </w:r>
          </w:p>
        </w:tc>
      </w:tr>
      <w:tr>
        <w:trPr>
          <w:trHeight w:val="25"/>
        </w:trPr>
        <w:tc>
          <w:tcPr>
            <w:tcW w:w="8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45"/>
        </w:trPr>
        <w:tc>
          <w:tcPr>
            <w:tcW w:w="89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r>
      <w:tr>
        <w:trPr>
          <w:trHeight w:val="240"/>
        </w:trPr>
        <w:tc>
          <w:tcPr>
            <w:tcW w:w="8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Short-term debt</w:t>
            </w:r>
          </w:p>
        </w:tc>
        <w:tc>
          <w:tcPr>
            <w:tcW w:w="34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w:t>
            </w:r>
          </w:p>
        </w:tc>
      </w:tr>
      <w:tr>
        <w:trPr>
          <w:trHeight w:val="25"/>
        </w:trPr>
        <w:tc>
          <w:tcPr>
            <w:tcW w:w="8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45"/>
        </w:trPr>
        <w:tc>
          <w:tcPr>
            <w:tcW w:w="89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3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40"/>
        </w:trPr>
        <w:tc>
          <w:tcPr>
            <w:tcW w:w="8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Financing lease liability, current</w:t>
            </w:r>
          </w:p>
        </w:tc>
        <w:tc>
          <w:tcPr>
            <w:tcW w:w="34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5"/>
        </w:trPr>
        <w:tc>
          <w:tcPr>
            <w:tcW w:w="8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45"/>
        </w:trPr>
        <w:tc>
          <w:tcPr>
            <w:tcW w:w="89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3,885</w:t>
            </w:r>
          </w:p>
        </w:tc>
      </w:tr>
      <w:tr>
        <w:trPr>
          <w:trHeight w:val="240"/>
        </w:trPr>
        <w:tc>
          <w:tcPr>
            <w:tcW w:w="8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23,144</w:t>
            </w:r>
          </w:p>
        </w:tc>
      </w:tr>
      <w:tr>
        <w:trPr>
          <w:trHeight w:val="25"/>
        </w:trPr>
        <w:tc>
          <w:tcPr>
            <w:tcW w:w="8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45"/>
        </w:trPr>
        <w:tc>
          <w:tcPr>
            <w:tcW w:w="89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3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4,295</w:t>
            </w:r>
          </w:p>
        </w:tc>
      </w:tr>
      <w:tr>
        <w:trPr>
          <w:trHeight w:val="240"/>
        </w:trPr>
        <w:tc>
          <w:tcPr>
            <w:tcW w:w="8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Long-term debt</w:t>
            </w:r>
          </w:p>
        </w:tc>
        <w:tc>
          <w:tcPr>
            <w:tcW w:w="34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51,511</w:t>
            </w:r>
          </w:p>
        </w:tc>
      </w:tr>
      <w:tr>
        <w:trPr>
          <w:trHeight w:val="25"/>
        </w:trPr>
        <w:tc>
          <w:tcPr>
            <w:tcW w:w="8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45"/>
        </w:trPr>
        <w:tc>
          <w:tcPr>
            <w:tcW w:w="89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11,105</w:t>
            </w:r>
          </w:p>
        </w:tc>
      </w:tr>
      <w:tr>
        <w:trPr>
          <w:trHeight w:val="240"/>
        </w:trPr>
        <w:tc>
          <w:tcPr>
            <w:tcW w:w="8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34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5"/>
        </w:trPr>
        <w:tc>
          <w:tcPr>
            <w:tcW w:w="8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45"/>
        </w:trPr>
        <w:tc>
          <w:tcPr>
            <w:tcW w:w="89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3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40"/>
        </w:trPr>
        <w:tc>
          <w:tcPr>
            <w:tcW w:w="8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liability, net of current portion</w:t>
            </w:r>
          </w:p>
        </w:tc>
        <w:tc>
          <w:tcPr>
            <w:tcW w:w="34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w:t>
            </w:r>
          </w:p>
        </w:tc>
      </w:tr>
      <w:tr>
        <w:trPr>
          <w:trHeight w:val="25"/>
        </w:trPr>
        <w:tc>
          <w:tcPr>
            <w:tcW w:w="8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58"/>
        </w:trPr>
        <w:tc>
          <w:tcPr>
            <w:tcW w:w="8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34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193,900</w:t>
            </w:r>
          </w:p>
        </w:tc>
      </w:tr>
      <w:tr>
        <w:trPr>
          <w:trHeight w:val="245"/>
        </w:trPr>
        <w:tc>
          <w:tcPr>
            <w:tcW w:w="898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920" w:type="dxa"/>
            <w:vAlign w:val="bottom"/>
            <w:tcBorders>
              <w:top w:val="single" w:sz="8" w:color="auto"/>
            </w:tcBorders>
          </w:tcPr>
          <w:p>
            <w:pPr>
              <w:spacing w:after="0"/>
              <w:rPr>
                <w:sz w:val="21"/>
                <w:szCs w:val="21"/>
                <w:color w:val="auto"/>
              </w:rPr>
            </w:pPr>
          </w:p>
        </w:tc>
      </w:tr>
      <w:tr>
        <w:trPr>
          <w:trHeight w:val="265"/>
        </w:trPr>
        <w:tc>
          <w:tcPr>
            <w:tcW w:w="8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identifiable net liabilities assumed</w:t>
            </w: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w:t>
            </w:r>
          </w:p>
        </w:tc>
      </w:tr>
      <w:tr>
        <w:trPr>
          <w:trHeight w:val="258"/>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acquired on acquisition</w:t>
            </w: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105,691</w:t>
            </w:r>
          </w:p>
        </w:tc>
      </w:tr>
      <w:tr>
        <w:trPr>
          <w:trHeight w:val="20"/>
        </w:trPr>
        <w:tc>
          <w:tcPr>
            <w:tcW w:w="8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Goodwill recognized includes synergies expected to be achieved from the operations of the combined company and intangible assets that do not qualify for separate recognition. Expected synergies include both increased revenue opportunities and the cost savings from the planned integration of platform infrastructure, facilities, personnel, and systems. The transaction is considered a non-taxable business combination, and goodwill is not deductible for tax purposes.</w:t>
      </w:r>
    </w:p>
    <w:p>
      <w:pPr>
        <w:sectPr>
          <w:pgSz w:w="11900" w:h="16838" w:orient="portrait"/>
          <w:cols w:equalWidth="0" w:num="1">
            <w:col w:w="11240"/>
          </w:cols>
          <w:pgMar w:left="320" w:top="3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preliminary purchase price allocation has not been finalized as of September 30, 2024 primarily due to the final assessment of the fair values of the intangible assets, contingent tax liability assumed, and fair value of the contingent earnout consideration. The fair value estimates of assets acquired and liabilities assumed is pending the completion of various items, including obtaining further information regarding the identification and valuation of all assets acquired and liabilities assumed. Any adjustments to the estimates of purchase price allocation will be made in the periods in which the adjustments are determined, and the cumulative effect of such adjustments will be calculated as if the adjustments had been completed as of the acquisition date. The Company expects to finalize the purchase price allocation within 12 months from the Amelia Acquisition Date.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2323"/>
        </w:rPr>
        <w:t xml:space="preserve">The following table summarizes the preliminary fair values of the identifiable intangible assets acquired </w:t>
      </w:r>
      <w:r>
        <w:rPr>
          <w:rFonts w:ascii="Times New Roman" w:cs="Times New Roman" w:eastAsia="Times New Roman" w:hAnsi="Times New Roman"/>
          <w:sz w:val="18"/>
          <w:szCs w:val="18"/>
          <w:color w:val="000000"/>
        </w:rPr>
        <w:t>(in thousands)</w:t>
      </w:r>
      <w:r>
        <w:rPr>
          <w:rFonts w:ascii="Times New Roman" w:cs="Times New Roman" w:eastAsia="Times New Roman" w:hAnsi="Times New Roman"/>
          <w:sz w:val="18"/>
          <w:szCs w:val="18"/>
          <w:color w:val="232323"/>
        </w:rPr>
        <w:t>:</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740" w:type="dxa"/>
            <w:vAlign w:val="bottom"/>
          </w:tcPr>
          <w:p>
            <w:pPr>
              <w:spacing w:after="0"/>
              <w:rPr>
                <w:sz w:val="20"/>
                <w:szCs w:val="20"/>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Useful life</w:t>
            </w:r>
          </w:p>
        </w:tc>
        <w:tc>
          <w:tcPr>
            <w:tcW w:w="220" w:type="dxa"/>
            <w:vAlign w:val="bottom"/>
          </w:tcPr>
          <w:p>
            <w:pPr>
              <w:spacing w:after="0"/>
              <w:rPr>
                <w:sz w:val="20"/>
                <w:szCs w:val="20"/>
                <w:color w:val="auto"/>
              </w:rPr>
            </w:pPr>
          </w:p>
        </w:tc>
        <w:tc>
          <w:tcPr>
            <w:tcW w:w="210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Preliminary fair value</w:t>
            </w:r>
          </w:p>
        </w:tc>
      </w:tr>
      <w:tr>
        <w:trPr>
          <w:trHeight w:val="265"/>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Intangible Assets:</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(in years)</w:t>
            </w:r>
          </w:p>
        </w:tc>
        <w:tc>
          <w:tcPr>
            <w:tcW w:w="220" w:type="dxa"/>
            <w:vAlign w:val="bottom"/>
          </w:tcPr>
          <w:p>
            <w:pPr>
              <w:spacing w:after="0"/>
              <w:rPr>
                <w:sz w:val="23"/>
                <w:szCs w:val="23"/>
                <w:color w:val="auto"/>
              </w:rPr>
            </w:pPr>
          </w:p>
        </w:tc>
        <w:tc>
          <w:tcPr>
            <w:tcW w:w="2100" w:type="dxa"/>
            <w:vAlign w:val="bottom"/>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at acquisition</w:t>
            </w:r>
          </w:p>
        </w:tc>
      </w:tr>
      <w:tr>
        <w:trPr>
          <w:trHeight w:val="26"/>
        </w:trPr>
        <w:tc>
          <w:tcPr>
            <w:tcW w:w="674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38"/>
        </w:trPr>
        <w:tc>
          <w:tcPr>
            <w:tcW w:w="67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Developed technology</w:t>
            </w:r>
          </w:p>
        </w:tc>
        <w:tc>
          <w:tcPr>
            <w:tcW w:w="2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7.0</w:t>
            </w: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98,900</w:t>
            </w:r>
          </w:p>
        </w:tc>
      </w:tr>
      <w:tr>
        <w:trPr>
          <w:trHeight w:val="240"/>
        </w:trPr>
        <w:tc>
          <w:tcPr>
            <w:tcW w:w="6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Customer relationships</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7.0</w:t>
            </w:r>
          </w:p>
        </w:tc>
        <w:tc>
          <w:tcPr>
            <w:tcW w:w="220" w:type="dxa"/>
            <w:vAlign w:val="bottom"/>
          </w:tcPr>
          <w:p>
            <w:pPr>
              <w:spacing w:after="0"/>
              <w:rPr>
                <w:sz w:val="20"/>
                <w:szCs w:val="20"/>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68,600</w:t>
            </w:r>
          </w:p>
        </w:tc>
      </w:tr>
      <w:tr>
        <w:trPr>
          <w:trHeight w:val="25"/>
        </w:trPr>
        <w:tc>
          <w:tcPr>
            <w:tcW w:w="67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65"/>
        </w:trPr>
        <w:tc>
          <w:tcPr>
            <w:tcW w:w="67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Trade names</w:t>
            </w:r>
          </w:p>
        </w:tc>
        <w:tc>
          <w:tcPr>
            <w:tcW w:w="2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5.0</w:t>
            </w:r>
          </w:p>
        </w:tc>
        <w:tc>
          <w:tcPr>
            <w:tcW w:w="220" w:type="dxa"/>
            <w:vAlign w:val="bottom"/>
            <w:tcBorders>
              <w:bottom w:val="single" w:sz="8" w:color="CCEEFF"/>
            </w:tcBorders>
            <w:shd w:val="clear" w:color="auto" w:fill="CCEEFF"/>
          </w:tcPr>
          <w:p>
            <w:pPr>
              <w:spacing w:after="0"/>
              <w:rPr>
                <w:sz w:val="23"/>
                <w:szCs w:val="23"/>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r>
      <w:tr>
        <w:trPr>
          <w:trHeight w:val="233"/>
        </w:trPr>
        <w:tc>
          <w:tcPr>
            <w:tcW w:w="6740" w:type="dxa"/>
            <w:vAlign w:val="bottom"/>
          </w:tcPr>
          <w:p>
            <w:pPr>
              <w:spacing w:after="0"/>
              <w:rPr>
                <w:sz w:val="20"/>
                <w:szCs w:val="20"/>
                <w:color w:val="auto"/>
              </w:rPr>
            </w:pPr>
          </w:p>
        </w:tc>
        <w:tc>
          <w:tcPr>
            <w:tcW w:w="21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174,500</w:t>
            </w:r>
          </w:p>
        </w:tc>
      </w:tr>
      <w:tr>
        <w:trPr>
          <w:trHeight w:val="26"/>
        </w:trPr>
        <w:tc>
          <w:tcPr>
            <w:tcW w:w="67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232323"/>
        </w:rPr>
        <w:t xml:space="preserve">The Company incurred </w:t>
      </w:r>
      <w:r>
        <w:rPr>
          <w:rFonts w:ascii="Times New Roman" w:cs="Times New Roman" w:eastAsia="Times New Roman" w:hAnsi="Times New Roman"/>
          <w:sz w:val="18"/>
          <w:szCs w:val="18"/>
          <w:color w:val="000000"/>
        </w:rPr>
        <w:t>$4.8 million</w:t>
      </w:r>
      <w:r>
        <w:rPr>
          <w:rFonts w:ascii="Times New Roman" w:cs="Times New Roman" w:eastAsia="Times New Roman" w:hAnsi="Times New Roman"/>
          <w:sz w:val="18"/>
          <w:szCs w:val="18"/>
          <w:color w:val="232323"/>
        </w:rPr>
        <w:t xml:space="preserve"> in acquisition related expenses, all of which was incurred during the </w:t>
      </w:r>
      <w:r>
        <w:rPr>
          <w:rFonts w:ascii="Times New Roman" w:cs="Times New Roman" w:eastAsia="Times New Roman" w:hAnsi="Times New Roman"/>
          <w:sz w:val="18"/>
          <w:szCs w:val="18"/>
          <w:color w:val="000000"/>
        </w:rPr>
        <w:t>three months ended September 30, 2024</w:t>
      </w:r>
      <w:r>
        <w:rPr>
          <w:rFonts w:ascii="Times New Roman" w:cs="Times New Roman" w:eastAsia="Times New Roman" w:hAnsi="Times New Roman"/>
          <w:sz w:val="18"/>
          <w:szCs w:val="18"/>
          <w:color w:val="232323"/>
        </w:rPr>
        <w:t xml:space="preserve"> and recorded as general and administration expenses in its condensed consolidated statements of operations and comprehensive loss.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Unaudited pro forma financial information</w:t>
      </w:r>
    </w:p>
    <w:p>
      <w:pPr>
        <w:spacing w:after="0" w:line="2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financial results of SYNQ3 and Amelia are included in these unaudited condensed consolidated financial statements from the date of the acquisition. SYNQ3 contributed revenue of $2.8 million and $8.9 million, respectively, and net loss of $1.9 million and $5.2 million, respectively, to the Company for the three and nine months ended September 30, 2024. Amelia contributed revenue of $15.6 million and net loss of $0.4 million to the Company for the three and nine months ended September 30, 2024.</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 includes unaudited pro forma financial information that presents combined results of the Company as if the business combinations were completed on January 1, 2023, the beginning of the comparable prior annual reporting period.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6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180" w:type="dxa"/>
            <w:vAlign w:val="bottom"/>
          </w:tcPr>
          <w:p>
            <w:pPr>
              <w:spacing w:after="0"/>
              <w:rPr>
                <w:sz w:val="20"/>
                <w:szCs w:val="20"/>
                <w:color w:val="auto"/>
              </w:rPr>
            </w:pPr>
          </w:p>
        </w:tc>
      </w:tr>
      <w:tr>
        <w:trPr>
          <w:trHeight w:val="25"/>
        </w:trPr>
        <w:tc>
          <w:tcPr>
            <w:tcW w:w="58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33"/>
        </w:trPr>
        <w:tc>
          <w:tcPr>
            <w:tcW w:w="5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60" w:type="dxa"/>
            <w:vAlign w:val="bottom"/>
          </w:tcPr>
          <w:p>
            <w:pPr>
              <w:jc w:val="center"/>
              <w:ind w:right="212"/>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500" w:type="dxa"/>
            <w:vAlign w:val="bottom"/>
          </w:tcPr>
          <w:p>
            <w:pPr>
              <w:spacing w:after="0"/>
              <w:rPr>
                <w:sz w:val="20"/>
                <w:szCs w:val="20"/>
                <w:color w:val="auto"/>
              </w:rPr>
            </w:pPr>
          </w:p>
        </w:tc>
        <w:tc>
          <w:tcPr>
            <w:tcW w:w="21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5"/>
        </w:trPr>
        <w:tc>
          <w:tcPr>
            <w:tcW w:w="58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33"/>
        </w:trPr>
        <w:tc>
          <w:tcPr>
            <w:tcW w:w="5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60" w:type="dxa"/>
            <w:vAlign w:val="bottom"/>
          </w:tcPr>
          <w:p>
            <w:pPr>
              <w:jc w:val="center"/>
              <w:ind w:right="232"/>
              <w:spacing w:after="0"/>
              <w:rPr>
                <w:sz w:val="20"/>
                <w:szCs w:val="20"/>
                <w:color w:val="auto"/>
              </w:rPr>
            </w:pPr>
            <w:r>
              <w:rPr>
                <w:rFonts w:ascii="Times New Roman" w:cs="Times New Roman" w:eastAsia="Times New Roman" w:hAnsi="Times New Roman"/>
                <w:sz w:val="18"/>
                <w:szCs w:val="18"/>
                <w:b w:val="1"/>
                <w:bCs w:val="1"/>
                <w:color w:val="auto"/>
                <w:w w:val="98"/>
              </w:rPr>
              <w:t>September 30, 2023</w:t>
            </w:r>
          </w:p>
        </w:tc>
        <w:tc>
          <w:tcPr>
            <w:tcW w:w="500" w:type="dxa"/>
            <w:vAlign w:val="bottom"/>
          </w:tcPr>
          <w:p>
            <w:pPr>
              <w:spacing w:after="0"/>
              <w:rPr>
                <w:sz w:val="20"/>
                <w:szCs w:val="20"/>
                <w:color w:val="auto"/>
              </w:rPr>
            </w:pPr>
          </w:p>
        </w:tc>
        <w:tc>
          <w:tcPr>
            <w:tcW w:w="21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30, 2023</w:t>
            </w:r>
          </w:p>
        </w:tc>
      </w:tr>
      <w:tr>
        <w:trPr>
          <w:trHeight w:val="25"/>
        </w:trPr>
        <w:tc>
          <w:tcPr>
            <w:tcW w:w="58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38"/>
        </w:trPr>
        <w:tc>
          <w:tcPr>
            <w:tcW w:w="5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tcBorders>
              <w:bottom w:val="single" w:sz="8" w:color="CCEEFF"/>
            </w:tcBorders>
            <w:shd w:val="clear" w:color="auto" w:fill="CCEEFF"/>
          </w:tcPr>
          <w:p>
            <w:pPr>
              <w:jc w:val="center"/>
              <w:ind w:left="1652"/>
              <w:spacing w:after="0"/>
              <w:rPr>
                <w:sz w:val="20"/>
                <w:szCs w:val="20"/>
                <w:color w:val="auto"/>
              </w:rPr>
            </w:pPr>
            <w:r>
              <w:rPr>
                <w:rFonts w:ascii="Times New Roman" w:cs="Times New Roman" w:eastAsia="Times New Roman" w:hAnsi="Times New Roman"/>
                <w:sz w:val="18"/>
                <w:szCs w:val="18"/>
                <w:color w:val="auto"/>
              </w:rPr>
              <w:t>39,717</w:t>
            </w:r>
          </w:p>
        </w:tc>
        <w:tc>
          <w:tcPr>
            <w:tcW w:w="500" w:type="dxa"/>
            <w:vAlign w:val="bottom"/>
            <w:tcBorders>
              <w:bottom w:val="single" w:sz="8" w:color="CCEEFF"/>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Borders>
              <w:bottom w:val="single" w:sz="8" w:color="CCEEFF"/>
            </w:tcBorders>
            <w:shd w:val="clear" w:color="auto" w:fill="CCEEFF"/>
          </w:tcPr>
          <w:p>
            <w:pPr>
              <w:jc w:val="center"/>
              <w:ind w:left="1392"/>
              <w:spacing w:after="0"/>
              <w:rPr>
                <w:sz w:val="20"/>
                <w:szCs w:val="20"/>
                <w:color w:val="auto"/>
              </w:rPr>
            </w:pPr>
            <w:r>
              <w:rPr>
                <w:rFonts w:ascii="Times New Roman" w:cs="Times New Roman" w:eastAsia="Times New Roman" w:hAnsi="Times New Roman"/>
                <w:sz w:val="18"/>
                <w:szCs w:val="18"/>
                <w:color w:val="auto"/>
                <w:w w:val="99"/>
              </w:rPr>
              <w:t>109,879</w:t>
            </w:r>
          </w:p>
        </w:tc>
      </w:tr>
      <w:tr>
        <w:trPr>
          <w:trHeight w:val="240"/>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SoundHound AI, Inc.</w:t>
            </w: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tcPr>
          <w:p>
            <w:pPr>
              <w:jc w:val="center"/>
              <w:ind w:left="1632"/>
              <w:spacing w:after="0"/>
              <w:rPr>
                <w:sz w:val="20"/>
                <w:szCs w:val="20"/>
                <w:color w:val="auto"/>
              </w:rPr>
            </w:pPr>
            <w:r>
              <w:rPr>
                <w:rFonts w:ascii="Times New Roman" w:cs="Times New Roman" w:eastAsia="Times New Roman" w:hAnsi="Times New Roman"/>
                <w:sz w:val="18"/>
                <w:szCs w:val="18"/>
                <w:color w:val="auto"/>
                <w:w w:val="97"/>
              </w:rPr>
              <w:t>(38,337)</w:t>
            </w:r>
          </w:p>
        </w:tc>
        <w:tc>
          <w:tcPr>
            <w:tcW w:w="50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Pr>
          <w:p>
            <w:pPr>
              <w:jc w:val="center"/>
              <w:ind w:left="1352"/>
              <w:spacing w:after="0"/>
              <w:rPr>
                <w:sz w:val="20"/>
                <w:szCs w:val="20"/>
                <w:color w:val="auto"/>
              </w:rPr>
            </w:pPr>
            <w:r>
              <w:rPr>
                <w:rFonts w:ascii="Times New Roman" w:cs="Times New Roman" w:eastAsia="Times New Roman" w:hAnsi="Times New Roman"/>
                <w:sz w:val="18"/>
                <w:szCs w:val="18"/>
                <w:color w:val="auto"/>
                <w:w w:val="99"/>
              </w:rPr>
              <w:t>(121,922)</w:t>
            </w:r>
          </w:p>
        </w:tc>
      </w:tr>
      <w:tr>
        <w:trPr>
          <w:trHeight w:val="610"/>
        </w:trPr>
        <w:tc>
          <w:tcPr>
            <w:tcW w:w="5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6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180" w:type="dxa"/>
            <w:vAlign w:val="bottom"/>
          </w:tcPr>
          <w:p>
            <w:pPr>
              <w:spacing w:after="0"/>
              <w:rPr>
                <w:sz w:val="24"/>
                <w:szCs w:val="24"/>
                <w:color w:val="auto"/>
              </w:rPr>
            </w:pPr>
          </w:p>
        </w:tc>
      </w:tr>
      <w:tr>
        <w:trPr>
          <w:trHeight w:val="25"/>
        </w:trPr>
        <w:tc>
          <w:tcPr>
            <w:tcW w:w="58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33"/>
        </w:trPr>
        <w:tc>
          <w:tcPr>
            <w:tcW w:w="5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60" w:type="dxa"/>
            <w:vAlign w:val="bottom"/>
          </w:tcPr>
          <w:p>
            <w:pPr>
              <w:jc w:val="center"/>
              <w:ind w:right="212"/>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500" w:type="dxa"/>
            <w:vAlign w:val="bottom"/>
          </w:tcPr>
          <w:p>
            <w:pPr>
              <w:spacing w:after="0"/>
              <w:rPr>
                <w:sz w:val="20"/>
                <w:szCs w:val="20"/>
                <w:color w:val="auto"/>
              </w:rPr>
            </w:pPr>
          </w:p>
        </w:tc>
        <w:tc>
          <w:tcPr>
            <w:tcW w:w="21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5"/>
        </w:trPr>
        <w:tc>
          <w:tcPr>
            <w:tcW w:w="58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33"/>
        </w:trPr>
        <w:tc>
          <w:tcPr>
            <w:tcW w:w="5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60" w:type="dxa"/>
            <w:vAlign w:val="bottom"/>
          </w:tcPr>
          <w:p>
            <w:pPr>
              <w:jc w:val="center"/>
              <w:ind w:right="232"/>
              <w:spacing w:after="0"/>
              <w:rPr>
                <w:sz w:val="20"/>
                <w:szCs w:val="20"/>
                <w:color w:val="auto"/>
              </w:rPr>
            </w:pPr>
            <w:r>
              <w:rPr>
                <w:rFonts w:ascii="Times New Roman" w:cs="Times New Roman" w:eastAsia="Times New Roman" w:hAnsi="Times New Roman"/>
                <w:sz w:val="18"/>
                <w:szCs w:val="18"/>
                <w:b w:val="1"/>
                <w:bCs w:val="1"/>
                <w:color w:val="auto"/>
                <w:w w:val="98"/>
              </w:rPr>
              <w:t>September 30, 2024</w:t>
            </w:r>
          </w:p>
        </w:tc>
        <w:tc>
          <w:tcPr>
            <w:tcW w:w="500" w:type="dxa"/>
            <w:vAlign w:val="bottom"/>
          </w:tcPr>
          <w:p>
            <w:pPr>
              <w:spacing w:after="0"/>
              <w:rPr>
                <w:sz w:val="20"/>
                <w:szCs w:val="20"/>
                <w:color w:val="auto"/>
              </w:rPr>
            </w:pPr>
          </w:p>
        </w:tc>
        <w:tc>
          <w:tcPr>
            <w:tcW w:w="21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30, 2024</w:t>
            </w:r>
          </w:p>
        </w:tc>
      </w:tr>
      <w:tr>
        <w:trPr>
          <w:trHeight w:val="25"/>
        </w:trPr>
        <w:tc>
          <w:tcPr>
            <w:tcW w:w="58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38"/>
        </w:trPr>
        <w:tc>
          <w:tcPr>
            <w:tcW w:w="5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tcBorders>
              <w:bottom w:val="single" w:sz="8" w:color="CCEEFF"/>
            </w:tcBorders>
            <w:shd w:val="clear" w:color="auto" w:fill="CCEEFF"/>
          </w:tcPr>
          <w:p>
            <w:pPr>
              <w:jc w:val="center"/>
              <w:ind w:left="1652"/>
              <w:spacing w:after="0"/>
              <w:rPr>
                <w:sz w:val="20"/>
                <w:szCs w:val="20"/>
                <w:color w:val="auto"/>
              </w:rPr>
            </w:pPr>
            <w:r>
              <w:rPr>
                <w:rFonts w:ascii="Times New Roman" w:cs="Times New Roman" w:eastAsia="Times New Roman" w:hAnsi="Times New Roman"/>
                <w:sz w:val="18"/>
                <w:szCs w:val="18"/>
                <w:color w:val="auto"/>
              </w:rPr>
              <w:t>33,766</w:t>
            </w:r>
          </w:p>
        </w:tc>
        <w:tc>
          <w:tcPr>
            <w:tcW w:w="500" w:type="dxa"/>
            <w:vAlign w:val="bottom"/>
            <w:tcBorders>
              <w:bottom w:val="single" w:sz="8" w:color="CCEEFF"/>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Borders>
              <w:bottom w:val="single" w:sz="8" w:color="CCEEFF"/>
            </w:tcBorders>
            <w:shd w:val="clear" w:color="auto" w:fill="CCEEFF"/>
          </w:tcPr>
          <w:p>
            <w:pPr>
              <w:jc w:val="center"/>
              <w:ind w:left="1392"/>
              <w:spacing w:after="0"/>
              <w:rPr>
                <w:sz w:val="20"/>
                <w:szCs w:val="20"/>
                <w:color w:val="auto"/>
              </w:rPr>
            </w:pPr>
            <w:r>
              <w:rPr>
                <w:rFonts w:ascii="Times New Roman" w:cs="Times New Roman" w:eastAsia="Times New Roman" w:hAnsi="Times New Roman"/>
                <w:sz w:val="18"/>
                <w:szCs w:val="18"/>
                <w:color w:val="auto"/>
                <w:w w:val="99"/>
              </w:rPr>
              <w:t>104,154</w:t>
            </w:r>
          </w:p>
        </w:tc>
      </w:tr>
      <w:tr>
        <w:trPr>
          <w:trHeight w:val="239"/>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SoundHound AI, Inc.</w:t>
            </w: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tcPr>
          <w:p>
            <w:pPr>
              <w:jc w:val="center"/>
              <w:ind w:left="1632"/>
              <w:spacing w:after="0"/>
              <w:rPr>
                <w:sz w:val="20"/>
                <w:szCs w:val="20"/>
                <w:color w:val="auto"/>
              </w:rPr>
            </w:pPr>
            <w:r>
              <w:rPr>
                <w:rFonts w:ascii="Times New Roman" w:cs="Times New Roman" w:eastAsia="Times New Roman" w:hAnsi="Times New Roman"/>
                <w:sz w:val="18"/>
                <w:szCs w:val="18"/>
                <w:color w:val="auto"/>
                <w:w w:val="97"/>
              </w:rPr>
              <w:t>(31,943)</w:t>
            </w:r>
          </w:p>
        </w:tc>
        <w:tc>
          <w:tcPr>
            <w:tcW w:w="50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Pr>
          <w:p>
            <w:pPr>
              <w:jc w:val="center"/>
              <w:ind w:left="1352"/>
              <w:spacing w:after="0"/>
              <w:rPr>
                <w:sz w:val="20"/>
                <w:szCs w:val="20"/>
                <w:color w:val="auto"/>
              </w:rPr>
            </w:pPr>
            <w:r>
              <w:rPr>
                <w:rFonts w:ascii="Times New Roman" w:cs="Times New Roman" w:eastAsia="Times New Roman" w:hAnsi="Times New Roman"/>
                <w:sz w:val="18"/>
                <w:szCs w:val="18"/>
                <w:color w:val="auto"/>
                <w:w w:val="99"/>
              </w:rPr>
              <w:t>(123,192)</w:t>
            </w:r>
          </w:p>
        </w:tc>
      </w:tr>
    </w:tbl>
    <w:p>
      <w:pPr>
        <w:spacing w:after="0" w:line="32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unaudited pro forma financial information includes the combined historical operating results of the Company, SYNQ3 and Amelia prior to the acquisitions, with adjustments to give effect for the acquisitions and related events. Pro forma adjustments have been made to reflect the incremental intangible asset amortization to be incurred based on the fair values</w:t>
      </w:r>
    </w:p>
    <w:p>
      <w:pPr>
        <w:sectPr>
          <w:pgSz w:w="11900" w:h="16838" w:orient="portrait"/>
          <w:cols w:equalWidth="0" w:num="1">
            <w:col w:w="11240"/>
          </w:cols>
          <w:pgMar w:left="320" w:top="331"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and useful lives of each identifiable intangible asset, incremental stock-based compensation related to inducement equity awards, incremental transaction costs related to the acquisitions, adjustments to interest expense related to previously outstanding debt held by the acquired entities, elimination of amortization expense related to previously recognized goodwill held by SYNQ3, and the related tax effects of pro forma adjustments for the period. These unaudited pro forma results are presented for informational purposes only and are not necessarily indicative of what the actual results of operations of the combined</w:t>
      </w:r>
    </w:p>
    <w:p>
      <w:pPr>
        <w:spacing w:after="0" w:line="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company would have been if the acquisition had occurred at the beginning of the period presented, nor are they indicative of future results of operations. The unaudited pro forma results are based on the preliminary purchase price allocation and will be updated to reflect the final amounts as the allocation is finalized during the measurement period.</w:t>
      </w:r>
    </w:p>
    <w:p>
      <w:pPr>
        <w:spacing w:after="0" w:line="20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 did not have any material nonrecurring pro forma adjustments directly attributable to the business combination included in the reported pro forma revenue and earnings.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Acquisition</w:t>
      </w:r>
    </w:p>
    <w:p>
      <w:pPr>
        <w:spacing w:after="0" w:line="23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On June 14, 2024, the Company completed an immaterial acquisition for total preliminary purchase consideration of $1.0 million. As part of the acquisition, the Company acquired net assets of $2.2 million, including intangible assets of $2.6 million, and recognized a preliminary gain on bargain purchase of $1.2 million within other income (expense), net in the condensed consolidated statements of operations and comprehensive loss during the nine months ended September 30, 2024, resulting from a favorable fair value of identifiable net assets acquired at the date of acquisition as compared with the Company’s purchase price. The Company was able to negotiate a bargain purchase price as a result of the recurring losses and pre-filing bankruptcy status of the selling entity.</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preliminary purchase price allocation has not been finalized as of September 30, 2024 primarily due to the final assessment of the fair values of the intangible assets. The fair value estimates of assets acquired and liabilities assumed is pending the completion of various items, including obtaining further information regarding the identification and valuation of all assets acquired and liabilities assumed. Any adjustments to the estimates of purchase price allocation will be made in the periods in which the adjustments are determined, and the cumulative effect of such adjustments will be calculated as if the adjustments had been completed as of the acquisition date. The Company expects to finalize the purchase price allocation within 12 months from the acquisition date.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2323"/>
        </w:rPr>
        <w:t xml:space="preserve">The following table summarizes the preliminary fair values of the identifiable intangible assets acquired </w:t>
      </w:r>
      <w:r>
        <w:rPr>
          <w:rFonts w:ascii="Times New Roman" w:cs="Times New Roman" w:eastAsia="Times New Roman" w:hAnsi="Times New Roman"/>
          <w:sz w:val="18"/>
          <w:szCs w:val="18"/>
          <w:color w:val="000000"/>
        </w:rPr>
        <w:t>(in thousands)</w:t>
      </w:r>
      <w:r>
        <w:rPr>
          <w:rFonts w:ascii="Times New Roman" w:cs="Times New Roman" w:eastAsia="Times New Roman" w:hAnsi="Times New Roman"/>
          <w:sz w:val="18"/>
          <w:szCs w:val="18"/>
          <w:color w:val="232323"/>
        </w:rPr>
        <w:t>:</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560" w:type="dxa"/>
            <w:vAlign w:val="bottom"/>
          </w:tcPr>
          <w:p>
            <w:pPr>
              <w:spacing w:after="0"/>
              <w:rPr>
                <w:sz w:val="20"/>
                <w:szCs w:val="20"/>
                <w:color w:val="auto"/>
              </w:rPr>
            </w:pPr>
          </w:p>
        </w:tc>
        <w:tc>
          <w:tcPr>
            <w:tcW w:w="4360" w:type="dxa"/>
            <w:vAlign w:val="bottom"/>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Useful life</w:t>
            </w:r>
          </w:p>
        </w:tc>
        <w:tc>
          <w:tcPr>
            <w:tcW w:w="400" w:type="dxa"/>
            <w:vAlign w:val="bottom"/>
          </w:tcPr>
          <w:p>
            <w:pPr>
              <w:spacing w:after="0"/>
              <w:rPr>
                <w:sz w:val="20"/>
                <w:szCs w:val="20"/>
                <w:color w:val="auto"/>
              </w:rPr>
            </w:pPr>
          </w:p>
        </w:tc>
        <w:tc>
          <w:tcPr>
            <w:tcW w:w="1920" w:type="dxa"/>
            <w:vAlign w:val="bottom"/>
          </w:tcPr>
          <w:p>
            <w:pPr>
              <w:jc w:val="right"/>
              <w:ind w:right="692"/>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65"/>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Intangible Assets:</w:t>
            </w:r>
          </w:p>
        </w:tc>
        <w:tc>
          <w:tcPr>
            <w:tcW w:w="4360" w:type="dxa"/>
            <w:vAlign w:val="bottom"/>
          </w:tcPr>
          <w:p>
            <w:pPr>
              <w:jc w:val="right"/>
              <w:ind w:right="652"/>
              <w:spacing w:after="0"/>
              <w:rPr>
                <w:sz w:val="20"/>
                <w:szCs w:val="20"/>
                <w:color w:val="auto"/>
              </w:rPr>
            </w:pPr>
            <w:r>
              <w:rPr>
                <w:rFonts w:ascii="Times New Roman" w:cs="Times New Roman" w:eastAsia="Times New Roman" w:hAnsi="Times New Roman"/>
                <w:sz w:val="18"/>
                <w:szCs w:val="18"/>
                <w:b w:val="1"/>
                <w:bCs w:val="1"/>
                <w:color w:val="auto"/>
              </w:rPr>
              <w:t>(in years)</w:t>
            </w:r>
          </w:p>
        </w:tc>
        <w:tc>
          <w:tcPr>
            <w:tcW w:w="400" w:type="dxa"/>
            <w:vAlign w:val="bottom"/>
          </w:tcPr>
          <w:p>
            <w:pPr>
              <w:spacing w:after="0"/>
              <w:rPr>
                <w:sz w:val="23"/>
                <w:szCs w:val="23"/>
                <w:color w:val="auto"/>
              </w:rPr>
            </w:pPr>
          </w:p>
        </w:tc>
        <w:tc>
          <w:tcPr>
            <w:tcW w:w="1920" w:type="dxa"/>
            <w:vAlign w:val="bottom"/>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at acquisition</w:t>
            </w:r>
          </w:p>
        </w:tc>
      </w:tr>
      <w:tr>
        <w:trPr>
          <w:trHeight w:val="25"/>
        </w:trPr>
        <w:tc>
          <w:tcPr>
            <w:tcW w:w="456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8"/>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4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00" w:type="dxa"/>
            <w:vAlign w:val="bottom"/>
            <w:tcBorders>
              <w:bottom w:val="single" w:sz="8" w:color="CCEEFF"/>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w:t>
            </w:r>
          </w:p>
        </w:tc>
      </w:tr>
      <w:tr>
        <w:trPr>
          <w:trHeight w:val="24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0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r>
      <w:tr>
        <w:trPr>
          <w:trHeight w:val="25"/>
        </w:trPr>
        <w:tc>
          <w:tcPr>
            <w:tcW w:w="45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Tradename</w:t>
            </w:r>
          </w:p>
        </w:tc>
        <w:tc>
          <w:tcPr>
            <w:tcW w:w="4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0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3"/>
        </w:trPr>
        <w:tc>
          <w:tcPr>
            <w:tcW w:w="4560" w:type="dxa"/>
            <w:vAlign w:val="bottom"/>
            <w:tcBorders>
              <w:top w:val="single" w:sz="8" w:color="auto"/>
            </w:tcBorders>
          </w:tcPr>
          <w:p>
            <w:pPr>
              <w:spacing w:after="0"/>
              <w:rPr>
                <w:sz w:val="20"/>
                <w:szCs w:val="20"/>
                <w:color w:val="auto"/>
              </w:rPr>
            </w:pPr>
          </w:p>
        </w:tc>
        <w:tc>
          <w:tcPr>
            <w:tcW w:w="436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2,550</w:t>
            </w:r>
          </w:p>
        </w:tc>
      </w:tr>
      <w:tr>
        <w:trPr>
          <w:trHeight w:val="25"/>
        </w:trPr>
        <w:tc>
          <w:tcPr>
            <w:tcW w:w="45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0"/>
        </w:trPr>
        <w:tc>
          <w:tcPr>
            <w:tcW w:w="45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incurred $0.1 million in acquisition related expenses, of which zero and $0.1 million were incurred during the three and nine months ended September 30, 2024, respectively, and recorded as general and administration expenses in its condensed consolidated statements of operations and comprehensive loss.</w:t>
      </w:r>
    </w:p>
    <w:p>
      <w:pPr>
        <w:spacing w:after="0" w:line="20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financial results of the acquired entity are included in these unaudited condensed consolidated financial statements from the date of the acquisition, and are immaterial. The Company has not separately presented unaudited pro forma results of operations reflecting the acquisition or revenue and operating losses of the acquired entity for the period from acquisition date to September 30, 2024 as the impacts were not material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REVENUE RECOGNITION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Revenue Recognition</w:t>
      </w:r>
    </w:p>
    <w:p>
      <w:pPr>
        <w:spacing w:after="0" w:line="2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recognizes revenue to depict the transfer of promised goods or services to customers in an amount that reflects the consideration to which the entity expects to be entitled in exchange for those goods or services. Revenues are generally recognized upon the transfer of control of promised products or services provided to customers, reflecting the amount of consideration the Company expects to receive for those products or services.</w:t>
      </w:r>
    </w:p>
    <w:p>
      <w:pPr>
        <w:spacing w:after="0" w:line="17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Company’s arrangements with customers may contain multiple obligations. Individual services are accounted for separately if they are distinct — that is, if a customer can benefit from it on its own or with other resources that are readily available to the customer and if the service is separately identifiable from other items in the contract.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derives its revenue primarily from the following performance obligations: (1) hosted services, (2) professional services, (3) monetization, and</w:t>
      </w:r>
    </w:p>
    <w:p>
      <w:pPr>
        <w:spacing w:after="0" w:line="36" w:lineRule="exact"/>
        <w:rPr>
          <w:sz w:val="20"/>
          <w:szCs w:val="20"/>
          <w:color w:val="auto"/>
        </w:rPr>
      </w:pPr>
    </w:p>
    <w:p>
      <w:pPr>
        <w:ind w:firstLine="6"/>
        <w:spacing w:after="0" w:line="251" w:lineRule="auto"/>
        <w:tabs>
          <w:tab w:leader="none" w:pos="25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Revenues are reported net of applicable sales and use taxes that are passed through to customers. The Company applies significant judgement in identifying and evaluating any terms and conditions in contracts which impact revenue recognition.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the following performance obligations in contracts with customers: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Hosted Services</w:t>
      </w:r>
    </w:p>
    <w:p>
      <w:pPr>
        <w:spacing w:after="0" w:line="1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Hosted services, along with non-distinct customization, integration, maintenance and support professional services, allow customers to access the Houndify and Amelia Software Platform over the contract period without taking possession of the software.</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determined that the hosted services arrangements are a single performance obligation comprised of a series of distinct services, since each day of providing access to hosted services is substantially the same and the customer simultaneously receives and consumes the benefits as access is provided. These services are provided either on a usage basis (i.e., variable consideration) or on a fixed fee subscription basis. The Company recognizes revenue as each distinct service period is performed.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Hosted services may include up-front services to develop and/or customize the applications to each customer’s specification. Judgement is required to determine whether these professional services are distinct from the hosted services. In making this determination, factors such as the degree of integration, the customers’ ability to start using the software prior to customization, and the availability of these services from other independent vendors are considered.</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 instances where the Company concluded that the up-front services are not distinct performance obligations, revenues for these activities are recognized over the period which the hosted services are provided and is included within hosted services revenue.</w:t>
      </w:r>
    </w:p>
    <w:p>
      <w:pPr>
        <w:spacing w:after="0" w:line="16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All revenues derived as a result of the SYNQ3 Acquisition, and substantial revenues derived as a result of the Amelia Acquisition are categorized as hosted services revenue.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Professional Services</w:t>
      </w:r>
    </w:p>
    <w:p>
      <w:pPr>
        <w:spacing w:after="0" w:line="2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Revenues from distinct professional services, such as non-integrated development services and Managed Services, are either recognized over time based upon the progress towards completion of the project or at a point in time at project completion. The Company assesses distinct professional services to determine whether the transfer of control is over-time or at a point in time. The Company considers three criteria in making their assessment including (1) the customer simultaneously receives and consumes the benefits; (2) the Company’s performance creates or enhances an asset that the customer controls as the asset is created or enhanced; or (3) the Company’s performance does not create an asset with an</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alternative use to the entity and the entity has an enforceable right to payment for performance completed to date. If none of the criteria are met, revenues are determined to be recognized at a point in time.</w:t>
      </w:r>
    </w:p>
    <w:p>
      <w:pPr>
        <w:spacing w:after="0" w:line="1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For distinct professional services determined to be recognized over-time, measuring the stage of completion of a project requires significant judgement and estimates and is based on either input or output measure. During the three and nine months ended September 30, 2024, $2.8 million and $5.7 million, respectively, of professional service revenue was recognized over time. During the three and nine months ended September 30, 2024, there was immaterial professional service revenue recognized at a point in time when the performance obligation was fulfilled and control of the service was transferred to the customer. During the three and nine months ended September 30, 2023, $0.9 million and $5.9 million, respectively, of professional service revenue was recognized over time. During the three and nine months ended September 30, 2023, there was zero and $0.9 million, respectively, of professional service revenue recognized at a point in time when the performance obligation was fulfilled and control of the service was transferred to the customer.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Monetization</w:t>
      </w:r>
    </w:p>
    <w:p>
      <w:pPr>
        <w:spacing w:after="0" w:line="2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Monetization revenues are primarily derived from advertising payments associated with ad impressions placed on the SoundHound music identification application. The amount of revenue is based on actual monetization generated or usage, which represent a variable consideration with constrained estimates. Therefore, the Company recognizes the related revenues at a point in time when advertisements are placed, when commissions are paid or when the SoundHound application is downloaded. The determination of whether revenue should be reported on a gross or net basis is based on an assessment of whether the Company is acting as a principal or an agent in the transaction. The Company has determined that it does not act as the principal in monetization arrangements because it does not control the transfer of the service and it does not set the price. Based on these factors, the Company reports revenue on a net basis.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Licensing</w:t>
      </w:r>
    </w:p>
    <w:p>
      <w:pPr>
        <w:spacing w:after="0" w:line="21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Company licenses voice and Amelia’s software solutions that are embedded in customer’s products or services. Licensing revenues are a distinct performance obligation that is recognized when control is transferred to the customer, which is at a point in time for non-customized solutions. For licenses with non-distinct customized solutions, revenues are recognized over time based on the progress towards completion of the customized solution. Revenues generated from licensing are on royalty arrangements with a per unit pricing or on fixed considerations. The Company records licensing revenue relating to usage-based royalty arrangements in the same period in which the underlying usage occurs. Licensing revenue on fixed considerations including fixed fee and minimum guarantee from royalty arrangements are recognized when the Company grants the customer the right to use and benefit from the license at the start of the licensing period. Licenses may include post-contract support, which is a distinct performance obligation and revenue from post-contract support is recognized ratably over the licensing period. Revenue from post-contract support was not significant for the periods presented.</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When a contract has multiple performance obligations, the transaction price is allocated to each performance obligation based on its relative estimated standalone selling price (“SSP”). Judgments are required to determine the SSP for each distinct performance obligation. SSP is determined by maximizing observable inputs from pricing of standalone sales, when possible. Since prices vary from customer to customer based on customer relationship, volume discount and contract type, in instances where the SSP is not directly observable, the Company estimates SSP by considering the following factors:</w:t>
      </w:r>
    </w:p>
    <w:p>
      <w:pPr>
        <w:spacing w:after="0" w:line="180" w:lineRule="exact"/>
        <w:rPr>
          <w:sz w:val="20"/>
          <w:szCs w:val="20"/>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developing and supplying each performance obligation;</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standards;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product groupings; and</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objectives and pricing practices, such as contractually stated prices, discounts offered, and applicable price lists.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factors may vary over time, depending upon the unique facts and circumstances related to each deliverable. If the facts and circumstances underlying the factors considered change or should future facts and circumstances lead the Company to consider additional factors, the Company’s best estimate of SSP may also change. When such observable data is not available because there is a limited number of transactions or prices are highly variable, the Company will estimate the standalone selling price using the residual approach.</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Company’s long-term contracts generally do not have significant financing components, as there is normally payment and performance in each year of the contract. The Company has elected the practical expedient to not adjust promised amounts of consideration for the effects of a significant financing component if the Company expects, at contract inception, that the period between when the Company transfers a promised good or service to a customer and when the customer pays for that good or service will be one year or less. If there is a period of one year or longer between the transfer of promised services and payment, it is generally for reasons other than financing, thus, the Company does not adjust the transaction price for financing components. In the limited cases where a significant financing component is present, the Company adjusts the promised consideration for the effects of a significant financing component and to recognize revenue to approximate an amount that reflects the cash selling price that a customer would have paid for the promised goods or services.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and nine months ended September 30, 2024 and 2023, revenue under each performance obligation was as follows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20" w:type="dxa"/>
            <w:vAlign w:val="bottom"/>
          </w:tcPr>
          <w:p>
            <w:pPr>
              <w:spacing w:after="0"/>
              <w:rPr>
                <w:sz w:val="18"/>
                <w:szCs w:val="18"/>
                <w:color w:val="auto"/>
              </w:rPr>
            </w:pPr>
          </w:p>
        </w:tc>
        <w:tc>
          <w:tcPr>
            <w:tcW w:w="2480" w:type="dxa"/>
            <w:vAlign w:val="bottom"/>
            <w:gridSpan w:val="4"/>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gridSpan w:val="4"/>
          </w:tcPr>
          <w:p>
            <w:pPr>
              <w:jc w:val="right"/>
              <w:ind w:right="692"/>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3"/>
        </w:trPr>
        <w:tc>
          <w:tcPr>
            <w:tcW w:w="50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560" w:type="dxa"/>
            <w:vAlign w:val="bottom"/>
            <w:gridSpan w:val="3"/>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Pr>
          <w:p>
            <w:pPr>
              <w:spacing w:after="0"/>
              <w:rPr>
                <w:sz w:val="20"/>
                <w:szCs w:val="20"/>
                <w:color w:val="auto"/>
              </w:rPr>
            </w:pPr>
          </w:p>
        </w:tc>
      </w:tr>
      <w:tr>
        <w:trPr>
          <w:trHeight w:val="25"/>
        </w:trPr>
        <w:tc>
          <w:tcPr>
            <w:tcW w:w="50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3"/>
        </w:trPr>
        <w:tc>
          <w:tcPr>
            <w:tcW w:w="50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
        </w:trPr>
        <w:tc>
          <w:tcPr>
            <w:tcW w:w="50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Hosted services</w:t>
            </w:r>
          </w:p>
        </w:tc>
        <w:tc>
          <w:tcPr>
            <w:tcW w:w="920" w:type="dxa"/>
            <w:vAlign w:val="bottom"/>
            <w:tcBorders>
              <w:bottom w:val="single" w:sz="8" w:color="CCEEFF"/>
            </w:tcBorders>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17,546</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34,977</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12,753</w:t>
            </w:r>
          </w:p>
        </w:tc>
      </w:tr>
      <w:tr>
        <w:trPr>
          <w:trHeight w:val="23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9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2,851</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6,839</w:t>
            </w:r>
          </w:p>
        </w:tc>
      </w:tr>
      <w:tr>
        <w:trPr>
          <w:trHeight w:val="26"/>
        </w:trPr>
        <w:tc>
          <w:tcPr>
            <w:tcW w:w="5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5"/>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Licensing</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4,619</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8,671</w:t>
            </w:r>
          </w:p>
        </w:tc>
      </w:tr>
      <w:tr>
        <w:trPr>
          <w:trHeight w:val="24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Monetization</w:t>
            </w:r>
          </w:p>
        </w:tc>
        <w:tc>
          <w:tcPr>
            <w:tcW w:w="9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r>
      <w:tr>
        <w:trPr>
          <w:trHeight w:val="25"/>
        </w:trPr>
        <w:tc>
          <w:tcPr>
            <w:tcW w:w="50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3"/>
        </w:trPr>
        <w:tc>
          <w:tcPr>
            <w:tcW w:w="5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bottom w:val="single" w:sz="8" w:color="auto"/>
            </w:tcBorders>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25,094</w:t>
            </w:r>
          </w:p>
        </w:tc>
        <w:tc>
          <w:tcPr>
            <w:tcW w:w="1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13,268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50,150</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28,726</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and nine months ended September 30, 2024 and 2023, the disaggregated revenue by geographic location was as follows*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40" w:type="dxa"/>
            <w:vAlign w:val="bottom"/>
          </w:tcPr>
          <w:p>
            <w:pPr>
              <w:spacing w:after="0"/>
              <w:rPr>
                <w:sz w:val="18"/>
                <w:szCs w:val="18"/>
                <w:color w:val="auto"/>
              </w:rPr>
            </w:pPr>
          </w:p>
        </w:tc>
        <w:tc>
          <w:tcPr>
            <w:tcW w:w="2500" w:type="dxa"/>
            <w:vAlign w:val="bottom"/>
            <w:gridSpan w:val="4"/>
          </w:tcPr>
          <w:p>
            <w:pPr>
              <w:jc w:val="center"/>
              <w:ind w:left="472"/>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gridSpan w:val="4"/>
          </w:tcPr>
          <w:p>
            <w:pPr>
              <w:jc w:val="center"/>
              <w:ind w:right="232"/>
              <w:spacing w:after="0"/>
              <w:rPr>
                <w:sz w:val="20"/>
                <w:szCs w:val="20"/>
                <w:color w:val="auto"/>
              </w:rPr>
            </w:pPr>
            <w:r>
              <w:rPr>
                <w:rFonts w:ascii="Times New Roman" w:cs="Times New Roman" w:eastAsia="Times New Roman" w:hAnsi="Times New Roman"/>
                <w:sz w:val="18"/>
                <w:szCs w:val="18"/>
                <w:b w:val="1"/>
                <w:bCs w:val="1"/>
                <w:color w:val="auto"/>
                <w:w w:val="98"/>
              </w:rPr>
              <w:t>Nine Months Ended</w:t>
            </w:r>
          </w:p>
        </w:tc>
      </w:tr>
      <w:tr>
        <w:trPr>
          <w:trHeight w:val="233"/>
        </w:trPr>
        <w:tc>
          <w:tcPr>
            <w:tcW w:w="4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580" w:type="dxa"/>
            <w:vAlign w:val="bottom"/>
            <w:gridSpan w:val="3"/>
          </w:tcPr>
          <w:p>
            <w:pPr>
              <w:jc w:val="center"/>
              <w:ind w:right="252"/>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3"/>
          </w:tcPr>
          <w:p>
            <w:pPr>
              <w:jc w:val="center"/>
              <w:ind w:left="532"/>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940" w:type="dxa"/>
            <w:vAlign w:val="bottom"/>
          </w:tcPr>
          <w:p>
            <w:pPr>
              <w:spacing w:after="0"/>
              <w:rPr>
                <w:sz w:val="20"/>
                <w:szCs w:val="20"/>
                <w:color w:val="auto"/>
              </w:rPr>
            </w:pPr>
          </w:p>
        </w:tc>
      </w:tr>
      <w:tr>
        <w:trPr>
          <w:trHeight w:val="25"/>
        </w:trPr>
        <w:tc>
          <w:tcPr>
            <w:tcW w:w="49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3"/>
        </w:trPr>
        <w:tc>
          <w:tcPr>
            <w:tcW w:w="49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5"/>
        </w:trPr>
        <w:tc>
          <w:tcPr>
            <w:tcW w:w="49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8"/>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9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13,471</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21,049</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w:t>
            </w:r>
          </w:p>
        </w:tc>
      </w:tr>
      <w:tr>
        <w:trPr>
          <w:trHeight w:val="24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Korea</w:t>
            </w:r>
          </w:p>
        </w:tc>
        <w:tc>
          <w:tcPr>
            <w:tcW w:w="9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10,007</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14,132</w:t>
            </w:r>
          </w:p>
        </w:tc>
      </w:tr>
      <w:tr>
        <w:trPr>
          <w:trHeight w:val="25"/>
        </w:trPr>
        <w:tc>
          <w:tcPr>
            <w:tcW w:w="49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5"/>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France</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8,106</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w:t>
            </w:r>
          </w:p>
        </w:tc>
      </w:tr>
      <w:tr>
        <w:trPr>
          <w:trHeight w:val="24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9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5,797</w:t>
            </w:r>
          </w:p>
        </w:tc>
      </w:tr>
      <w:tr>
        <w:trPr>
          <w:trHeight w:val="25"/>
        </w:trPr>
        <w:tc>
          <w:tcPr>
            <w:tcW w:w="49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65"/>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7,688</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10,815</w:t>
            </w:r>
          </w:p>
        </w:tc>
        <w:tc>
          <w:tcPr>
            <w:tcW w:w="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3,926</w:t>
            </w:r>
          </w:p>
        </w:tc>
      </w:tr>
      <w:tr>
        <w:trPr>
          <w:trHeight w:val="258"/>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top w:val="single" w:sz="8" w:color="auto"/>
              <w:bottom w:val="single" w:sz="8" w:color="auto"/>
            </w:tcBorders>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25,094</w:t>
            </w:r>
          </w:p>
        </w:tc>
        <w:tc>
          <w:tcPr>
            <w:tcW w:w="10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13,268</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50,150</w:t>
            </w:r>
          </w:p>
        </w:tc>
        <w:tc>
          <w:tcPr>
            <w:tcW w:w="8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28,726</w:t>
            </w:r>
          </w:p>
        </w:tc>
      </w:tr>
      <w:tr>
        <w:trPr>
          <w:trHeight w:val="20"/>
        </w:trPr>
        <w:tc>
          <w:tcPr>
            <w:tcW w:w="49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*Revenue by geographic region is allocated to individual countries based on the billing location of the customer. The end customer location may be different than the customer's billing location. The ‘Other’ category is composed of geographic regions with sales less than 10% of the consolidated revenue.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and nine months ended September 30, 2024 and 2023, the disaggregated revenue by recognition pattern was as follows (in thousands):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20" w:type="dxa"/>
            <w:vAlign w:val="bottom"/>
          </w:tcPr>
          <w:p>
            <w:pPr>
              <w:spacing w:after="0"/>
              <w:rPr>
                <w:sz w:val="18"/>
                <w:szCs w:val="18"/>
                <w:color w:val="auto"/>
              </w:rPr>
            </w:pPr>
          </w:p>
        </w:tc>
        <w:tc>
          <w:tcPr>
            <w:tcW w:w="2500" w:type="dxa"/>
            <w:vAlign w:val="bottom"/>
            <w:gridSpan w:val="4"/>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gridSpan w:val="4"/>
          </w:tcPr>
          <w:p>
            <w:pPr>
              <w:jc w:val="right"/>
              <w:ind w:right="692"/>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3"/>
        </w:trPr>
        <w:tc>
          <w:tcPr>
            <w:tcW w:w="50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580" w:type="dxa"/>
            <w:vAlign w:val="bottom"/>
            <w:gridSpan w:val="3"/>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Pr>
          <w:p>
            <w:pPr>
              <w:spacing w:after="0"/>
              <w:rPr>
                <w:sz w:val="20"/>
                <w:szCs w:val="20"/>
                <w:color w:val="auto"/>
              </w:rPr>
            </w:pPr>
          </w:p>
        </w:tc>
      </w:tr>
      <w:tr>
        <w:trPr>
          <w:trHeight w:val="26"/>
        </w:trPr>
        <w:tc>
          <w:tcPr>
            <w:tcW w:w="50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3"/>
        </w:trPr>
        <w:tc>
          <w:tcPr>
            <w:tcW w:w="50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
        </w:trPr>
        <w:tc>
          <w:tcPr>
            <w:tcW w:w="50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Over time revenue</w:t>
            </w:r>
          </w:p>
        </w:tc>
        <w:tc>
          <w:tcPr>
            <w:tcW w:w="920" w:type="dxa"/>
            <w:vAlign w:val="bottom"/>
            <w:tcBorders>
              <w:bottom w:val="single" w:sz="8" w:color="CCEEFF"/>
            </w:tcBorders>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20,923</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5,175</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41,206</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18,710</w:t>
            </w:r>
          </w:p>
        </w:tc>
      </w:tr>
      <w:tr>
        <w:trPr>
          <w:trHeight w:val="24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Point-in-time</w:t>
            </w:r>
          </w:p>
        </w:tc>
        <w:tc>
          <w:tcPr>
            <w:tcW w:w="9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4,171</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10,016</w:t>
            </w:r>
          </w:p>
        </w:tc>
      </w:tr>
      <w:tr>
        <w:trPr>
          <w:trHeight w:val="25"/>
        </w:trPr>
        <w:tc>
          <w:tcPr>
            <w:tcW w:w="50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3"/>
        </w:trPr>
        <w:tc>
          <w:tcPr>
            <w:tcW w:w="5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bottom w:val="single" w:sz="8" w:color="auto"/>
            </w:tcBorders>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25,094</w:t>
            </w: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13,268</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50,150</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28,726</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Company also disaggregates revenue by service type. This disaggregation consists of Product Royalties, Service Subscriptions and Monetization. Product Royalties revenues are derived from Houndified Products, which are voice-enabled tangible products across the automotive and consumer electronics industries. Revenues from Product Royalties are based on volume, usage or life of the products, which are driven by number of devices, users or unit of time. Service Subscription revenues are generated through Houndified Services and Amelia services, which include customer services, food ordering, content, appointments and voice commerce, autonomous business workflows, and IT systems analysis. Subscription revenues are derived from monthly fees based on fixed fee, usage-based revenue, revenue per query or revenue per user. Houndified Products, Houndified Services, and Amelia services may include professional services that develop and customize the Houndify platform and Amelia Software Platforms to fit customers’ specific needs, and any post-contract support for on-premise solutions. Revenues from Monetization are generated from the SoundHound music identification app and are primarily attributable to user ad impression revenue.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and nine months ended September 30, 2024 and 2023, the disaggregated revenue by service type was as follows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00" w:type="dxa"/>
            <w:vAlign w:val="bottom"/>
          </w:tcPr>
          <w:p>
            <w:pPr>
              <w:spacing w:after="0"/>
              <w:rPr>
                <w:sz w:val="18"/>
                <w:szCs w:val="18"/>
                <w:color w:val="auto"/>
              </w:rPr>
            </w:pPr>
          </w:p>
        </w:tc>
        <w:tc>
          <w:tcPr>
            <w:tcW w:w="2480" w:type="dxa"/>
            <w:vAlign w:val="bottom"/>
            <w:gridSpan w:val="4"/>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gridSpan w:val="4"/>
          </w:tcPr>
          <w:p>
            <w:pPr>
              <w:jc w:val="right"/>
              <w:ind w:right="692"/>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3"/>
        </w:trPr>
        <w:tc>
          <w:tcPr>
            <w:tcW w:w="4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80" w:type="dxa"/>
            <w:vAlign w:val="bottom"/>
            <w:gridSpan w:val="3"/>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Pr>
          <w:p>
            <w:pPr>
              <w:spacing w:after="0"/>
              <w:rPr>
                <w:sz w:val="20"/>
                <w:szCs w:val="20"/>
                <w:color w:val="auto"/>
              </w:rPr>
            </w:pPr>
          </w:p>
        </w:tc>
      </w:tr>
      <w:tr>
        <w:trPr>
          <w:trHeight w:val="25"/>
        </w:trPr>
        <w:tc>
          <w:tcPr>
            <w:tcW w:w="49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3"/>
        </w:trPr>
        <w:tc>
          <w:tcPr>
            <w:tcW w:w="49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
        </w:trPr>
        <w:tc>
          <w:tcPr>
            <w:tcW w:w="49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8"/>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royalties</w:t>
            </w:r>
          </w:p>
        </w:tc>
        <w:tc>
          <w:tcPr>
            <w:tcW w:w="900" w:type="dxa"/>
            <w:vAlign w:val="bottom"/>
            <w:tcBorders>
              <w:bottom w:val="single" w:sz="8" w:color="CCEEFF"/>
            </w:tcBorders>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5,987</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12,616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23,599</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26,972</w:t>
            </w:r>
          </w:p>
        </w:tc>
      </w:tr>
      <w:tr>
        <w:trPr>
          <w:trHeight w:val="24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subscriptions</w:t>
            </w:r>
          </w:p>
        </w:tc>
        <w:tc>
          <w:tcPr>
            <w:tcW w:w="9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19,029</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26,250</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w:t>
            </w:r>
          </w:p>
        </w:tc>
      </w:tr>
      <w:tr>
        <w:trPr>
          <w:trHeight w:val="25"/>
        </w:trPr>
        <w:tc>
          <w:tcPr>
            <w:tcW w:w="4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65"/>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Monetization</w:t>
            </w:r>
          </w:p>
        </w:tc>
        <w:tc>
          <w:tcPr>
            <w:tcW w:w="9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r>
      <w:tr>
        <w:trPr>
          <w:trHeight w:val="258"/>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top w:val="single" w:sz="8" w:color="auto"/>
              <w:bottom w:val="single" w:sz="8" w:color="auto"/>
            </w:tcBorders>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25,094</w:t>
            </w:r>
          </w:p>
        </w:tc>
        <w:tc>
          <w:tcPr>
            <w:tcW w:w="10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13,268</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50,150</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28,726</w:t>
            </w:r>
          </w:p>
        </w:tc>
      </w:tr>
      <w:tr>
        <w:trPr>
          <w:trHeight w:val="20"/>
        </w:trPr>
        <w:tc>
          <w:tcPr>
            <w:tcW w:w="49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Contract Balances</w:t>
      </w:r>
    </w:p>
    <w:p>
      <w:pPr>
        <w:spacing w:after="0" w:line="2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performs its obligations under a contract with a customer by providing access to software, licensing right to use software, or providing services in exchange for consideration from the customer. The timing of the Company’s performance often differs from the timing of the customer’s payment, which results in the recognition of a receivable, a contract asset or deferred revenue.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January 1, 2023, accounts receivable, net of allowances, was $3.4 million, contract assets were $8.7 million and deferred revenue was $13.4 million.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contract asset and unbilled accounts receivable, net as of September 30, 2024 and December 31, 2023 consists of the following (in thousands):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52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b w:val="1"/>
                <w:bCs w:val="1"/>
                <w:color w:val="auto"/>
              </w:rPr>
              <w:t>Balance Sheet Presentation</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59"/>
        </w:trPr>
        <w:tc>
          <w:tcPr>
            <w:tcW w:w="3520" w:type="dxa"/>
            <w:vAlign w:val="bottom"/>
            <w:tcBorders>
              <w:bottom w:val="single" w:sz="8" w:color="CCEEFF"/>
            </w:tcBorders>
            <w:shd w:val="clear" w:color="auto" w:fill="CCEEFF"/>
          </w:tcPr>
          <w:p>
            <w:pPr>
              <w:spacing w:after="0"/>
              <w:rPr>
                <w:sz w:val="22"/>
                <w:szCs w:val="22"/>
                <w:color w:val="auto"/>
              </w:rPr>
            </w:pPr>
          </w:p>
        </w:tc>
        <w:tc>
          <w:tcPr>
            <w:tcW w:w="4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3"/>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Unbilled account receivables - current</w:t>
            </w:r>
          </w:p>
        </w:tc>
        <w:tc>
          <w:tcPr>
            <w:tcW w:w="4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Contract assets and unbilled receivables, net of allowance</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19,594</w:t>
            </w:r>
          </w:p>
        </w:tc>
        <w:tc>
          <w:tcPr>
            <w:tcW w:w="8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5,138</w:t>
            </w:r>
          </w:p>
        </w:tc>
      </w:tr>
      <w:tr>
        <w:trPr>
          <w:trHeight w:val="231"/>
        </w:trPr>
        <w:tc>
          <w:tcPr>
            <w:tcW w:w="3520" w:type="dxa"/>
            <w:vAlign w:val="bottom"/>
          </w:tcPr>
          <w:p>
            <w:pPr>
              <w:spacing w:after="0"/>
              <w:rPr>
                <w:sz w:val="20"/>
                <w:szCs w:val="20"/>
                <w:color w:val="auto"/>
              </w:rPr>
            </w:pP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 credit losses</w:t>
            </w: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5"/>
        </w:trPr>
        <w:tc>
          <w:tcPr>
            <w:tcW w:w="35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 current</w:t>
            </w:r>
          </w:p>
        </w:tc>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and unbilled receivables, net of allowance</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6,642</w:t>
            </w:r>
          </w:p>
        </w:tc>
      </w:tr>
      <w:tr>
        <w:trPr>
          <w:trHeight w:val="237"/>
        </w:trPr>
        <w:tc>
          <w:tcPr>
            <w:tcW w:w="3520" w:type="dxa"/>
            <w:vAlign w:val="bottom"/>
            <w:tcBorders>
              <w:bottom w:val="single" w:sz="8" w:color="CCEEFF"/>
            </w:tcBorders>
            <w:shd w:val="clear" w:color="auto" w:fill="CCEEFF"/>
          </w:tcPr>
          <w:p>
            <w:pPr>
              <w:spacing w:after="0"/>
              <w:rPr>
                <w:sz w:val="20"/>
                <w:szCs w:val="20"/>
                <w:color w:val="auto"/>
              </w:rPr>
            </w:pPr>
          </w:p>
        </w:tc>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credit losses</w:t>
            </w: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20"/>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Unbilled account receivables - non-current</w:t>
            </w: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Contract assets and unbilled receivables, non-current, net of</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1"/>
        </w:trPr>
        <w:tc>
          <w:tcPr>
            <w:tcW w:w="3520" w:type="dxa"/>
            <w:vAlign w:val="bottom"/>
          </w:tcPr>
          <w:p>
            <w:pPr>
              <w:spacing w:after="0"/>
              <w:rPr>
                <w:sz w:val="20"/>
                <w:szCs w:val="20"/>
                <w:color w:val="auto"/>
              </w:rPr>
            </w:pP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5"/>
        </w:trPr>
        <w:tc>
          <w:tcPr>
            <w:tcW w:w="35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 non-current</w:t>
            </w:r>
          </w:p>
        </w:tc>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and unbilled receivables, non-current, net of</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16,492</w:t>
            </w:r>
          </w:p>
        </w:tc>
      </w:tr>
      <w:tr>
        <w:trPr>
          <w:trHeight w:val="231"/>
        </w:trPr>
        <w:tc>
          <w:tcPr>
            <w:tcW w:w="3520" w:type="dxa"/>
            <w:vAlign w:val="bottom"/>
            <w:shd w:val="clear" w:color="auto" w:fill="CCEEFF"/>
          </w:tcPr>
          <w:p>
            <w:pPr>
              <w:spacing w:after="0"/>
              <w:rPr>
                <w:sz w:val="20"/>
                <w:szCs w:val="20"/>
                <w:color w:val="auto"/>
              </w:rPr>
            </w:pPr>
          </w:p>
        </w:tc>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6"/>
        </w:trPr>
        <w:tc>
          <w:tcPr>
            <w:tcW w:w="3520" w:type="dxa"/>
            <w:vAlign w:val="bottom"/>
            <w:shd w:val="clear" w:color="auto" w:fill="CCEEFF"/>
          </w:tcPr>
          <w:p>
            <w:pPr>
              <w:spacing w:after="0"/>
              <w:rPr>
                <w:sz w:val="2"/>
                <w:szCs w:val="2"/>
                <w:color w:val="auto"/>
              </w:rPr>
            </w:pPr>
          </w:p>
        </w:tc>
        <w:tc>
          <w:tcPr>
            <w:tcW w:w="4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change in the Company's contract assets and contract liabilities during the current period was primarily the result of the inclusion of Amelia. The timing differences between the Company's performance, invoicing and customer payments were also a factor. The Company has not recorded any asset impairment charges related to contract assets during the periods presented in the condensed consolidated financial statements.</w:t>
      </w:r>
    </w:p>
    <w:p>
      <w:pPr>
        <w:spacing w:after="0" w:line="17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Revenues recognized included in the balances of the deferred revenue at the beginning of the reporting period were $1.2 million and $4.0 million, respectively, for the three and nine months ended September 30, 2024 as compared to $1.5 million and $6.1 million, respectively, for the three and nine months ended September 30, 2023.</w:t>
      </w:r>
    </w:p>
    <w:p>
      <w:pPr>
        <w:spacing w:after="0" w:line="17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As of September 30, 2024, the aggregate amount of the transaction price allocated to the remaining performance obligations related to customer contracts that were unsatisfied or partially unsatisfied was $66.9 million. Given the applicable contract terms, $40.9 million is expected to be recognized as revenue within one year, $24.1 million is expected to be recognized between 2 to 5 years and the remainder of $2.0 million is expected to be recognized after 5 years. This amount does not include contracts to which the customer is not committed, contracts for which the Company recognizes revenue equal to the amount the Company has the right to invoice for services performed or future sales-based or usage-based royalty payments in exchange for access to the Company’s hosted services. This amount is subject to change due to future revaluations of variable consideration, terminations, other contract modifications or currency adjustments. The estimated timing of the recognition of remaining unsatisfied performance obligations is subject to change and is affected by changes to scope, changes in timing of delivery of products and services or contract modifications.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GOODWILL AND INTANGIBLE ASSETS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Goodwill</w:t>
      </w:r>
    </w:p>
    <w:p>
      <w:pPr>
        <w:spacing w:after="0" w:line="21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change in the carrying value of goodwill including the effect of measurement period adjustments for the nine months ended September 30, 2024, was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56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9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Acquisition of SYNQ3</w:t>
            </w:r>
          </w:p>
        </w:tc>
        <w:tc>
          <w:tcPr>
            <w:tcW w:w="5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6,039</w:t>
            </w:r>
          </w:p>
        </w:tc>
      </w:tr>
      <w:tr>
        <w:trPr>
          <w:trHeight w:val="25"/>
        </w:trPr>
        <w:tc>
          <w:tcPr>
            <w:tcW w:w="9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5"/>
        </w:trPr>
        <w:tc>
          <w:tcPr>
            <w:tcW w:w="94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Acquisition of Amelia</w:t>
            </w:r>
          </w:p>
        </w:tc>
        <w:tc>
          <w:tcPr>
            <w:tcW w:w="560" w:type="dxa"/>
            <w:vAlign w:val="bottom"/>
            <w:tcBorders>
              <w:bottom w:val="single" w:sz="8" w:color="CCEEFF"/>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105,691</w:t>
            </w:r>
          </w:p>
        </w:tc>
      </w:tr>
      <w:tr>
        <w:trPr>
          <w:trHeight w:val="258"/>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2024</w:t>
            </w:r>
          </w:p>
        </w:tc>
        <w:tc>
          <w:tcPr>
            <w:tcW w:w="56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111,730</w:t>
            </w:r>
          </w:p>
        </w:tc>
      </w:tr>
      <w:tr>
        <w:trPr>
          <w:trHeight w:val="20"/>
        </w:trPr>
        <w:tc>
          <w:tcPr>
            <w:tcW w:w="94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Company has applied the acquisition method of accounting in accordance with ASC 805 and recognized assets acquired and liabilities assumed of SYNQ3 and Amelia at their fair value as of the date of acquisition, with the excess purchase consideration recorded to goodwill. As the Company finalizes the estimation of the fair value of the assets acquired and liabilities assumed, additional adjustments to the amount of goodwill may be necessary. Refer to Note 3 for further information on the measurement period adjustments of SYNQ3 and Amelia Acquisitions.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carrying value, accumulated amortization and net carrying value of intangible assets consisted of the following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2580" w:type="dxa"/>
            <w:vAlign w:val="bottom"/>
            <w:shd w:val="clear" w:color="auto" w:fill="CCEEFF"/>
          </w:tcPr>
          <w:p>
            <w:pPr>
              <w:spacing w:after="0"/>
              <w:rPr>
                <w:sz w:val="22"/>
                <w:szCs w:val="22"/>
                <w:color w:val="auto"/>
              </w:rPr>
            </w:pPr>
          </w:p>
        </w:tc>
        <w:tc>
          <w:tcPr>
            <w:tcW w:w="20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200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9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80" w:type="dxa"/>
            <w:vAlign w:val="bottom"/>
            <w:tcBorders>
              <w:bottom w:val="single" w:sz="8" w:color="auto"/>
            </w:tcBorders>
            <w:shd w:val="clear" w:color="auto" w:fill="CCEEFF"/>
          </w:tcPr>
          <w:p>
            <w:pPr>
              <w:spacing w:after="0"/>
              <w:rPr>
                <w:sz w:val="22"/>
                <w:szCs w:val="22"/>
                <w:color w:val="auto"/>
              </w:rPr>
            </w:pPr>
          </w:p>
        </w:tc>
        <w:tc>
          <w:tcPr>
            <w:tcW w:w="1960" w:type="dxa"/>
            <w:vAlign w:val="bottom"/>
            <w:tcBorders>
              <w:bottom w:val="single" w:sz="8" w:color="auto"/>
            </w:tcBorders>
            <w:shd w:val="clear" w:color="auto" w:fill="CCEEFF"/>
          </w:tcPr>
          <w:p>
            <w:pPr>
              <w:spacing w:after="0"/>
              <w:rPr>
                <w:sz w:val="22"/>
                <w:szCs w:val="22"/>
                <w:color w:val="auto"/>
              </w:rPr>
            </w:pPr>
          </w:p>
        </w:tc>
      </w:tr>
      <w:tr>
        <w:trPr>
          <w:trHeight w:val="217"/>
        </w:trPr>
        <w:tc>
          <w:tcPr>
            <w:tcW w:w="2580" w:type="dxa"/>
            <w:vAlign w:val="bottom"/>
          </w:tcPr>
          <w:p>
            <w:pPr>
              <w:spacing w:after="0"/>
              <w:rPr>
                <w:sz w:val="18"/>
                <w:szCs w:val="18"/>
                <w:color w:val="auto"/>
              </w:rPr>
            </w:pPr>
          </w:p>
        </w:tc>
        <w:tc>
          <w:tcPr>
            <w:tcW w:w="2020" w:type="dxa"/>
            <w:vAlign w:val="bottom"/>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Useful life</w:t>
            </w:r>
          </w:p>
        </w:tc>
        <w:tc>
          <w:tcPr>
            <w:tcW w:w="2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33"/>
        </w:trPr>
        <w:tc>
          <w:tcPr>
            <w:tcW w:w="2580" w:type="dxa"/>
            <w:vAlign w:val="bottom"/>
          </w:tcPr>
          <w:p>
            <w:pPr>
              <w:spacing w:after="0"/>
              <w:rPr>
                <w:sz w:val="20"/>
                <w:szCs w:val="20"/>
                <w:color w:val="auto"/>
              </w:rPr>
            </w:pPr>
          </w:p>
        </w:tc>
        <w:tc>
          <w:tcPr>
            <w:tcW w:w="2020" w:type="dxa"/>
            <w:vAlign w:val="bottom"/>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(in years)</w:t>
            </w:r>
          </w:p>
        </w:tc>
        <w:tc>
          <w:tcPr>
            <w:tcW w:w="200" w:type="dxa"/>
            <w:vAlign w:val="bottom"/>
          </w:tcPr>
          <w:p>
            <w:pPr>
              <w:spacing w:after="0"/>
              <w:rPr>
                <w:sz w:val="20"/>
                <w:szCs w:val="20"/>
                <w:color w:val="auto"/>
              </w:rPr>
            </w:pPr>
          </w:p>
        </w:tc>
        <w:tc>
          <w:tcPr>
            <w:tcW w:w="200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Gross Carrying Value</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Accumulated Amortization</w:t>
            </w:r>
          </w:p>
        </w:tc>
        <w:tc>
          <w:tcPr>
            <w:tcW w:w="280" w:type="dxa"/>
            <w:vAlign w:val="bottom"/>
          </w:tcPr>
          <w:p>
            <w:pPr>
              <w:spacing w:after="0"/>
              <w:rPr>
                <w:sz w:val="20"/>
                <w:szCs w:val="20"/>
                <w:color w:val="auto"/>
              </w:rPr>
            </w:pPr>
          </w:p>
        </w:tc>
        <w:tc>
          <w:tcPr>
            <w:tcW w:w="196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Net Carrying Value</w:t>
            </w:r>
          </w:p>
        </w:tc>
      </w:tr>
      <w:tr>
        <w:trPr>
          <w:trHeight w:val="25"/>
        </w:trPr>
        <w:tc>
          <w:tcPr>
            <w:tcW w:w="258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38"/>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020" w:type="dxa"/>
            <w:vAlign w:val="bottom"/>
            <w:tcBorders>
              <w:bottom w:val="single" w:sz="8" w:color="CCEEFF"/>
            </w:tcBorders>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rPr>
              <w:t>3.0 - 7.0</w:t>
            </w: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105,640</w:t>
            </w: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3,573</w:t>
            </w:r>
          </w:p>
        </w:tc>
        <w:tc>
          <w:tcPr>
            <w:tcW w:w="2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102,067</w:t>
            </w:r>
          </w:p>
        </w:tc>
      </w:tr>
      <w:tr>
        <w:trPr>
          <w:trHeight w:val="240"/>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020" w:type="dxa"/>
            <w:vAlign w:val="bottom"/>
          </w:tcPr>
          <w:p>
            <w:pPr>
              <w:jc w:val="right"/>
              <w:ind w:right="892"/>
              <w:spacing w:after="0"/>
              <w:rPr>
                <w:sz w:val="20"/>
                <w:szCs w:val="20"/>
                <w:color w:val="auto"/>
              </w:rPr>
            </w:pPr>
            <w:r>
              <w:rPr>
                <w:rFonts w:ascii="Times New Roman" w:cs="Times New Roman" w:eastAsia="Times New Roman" w:hAnsi="Times New Roman"/>
                <w:sz w:val="18"/>
                <w:szCs w:val="18"/>
                <w:color w:val="auto"/>
              </w:rPr>
              <w:t>3.0 - 7.0</w:t>
            </w:r>
          </w:p>
        </w:tc>
        <w:tc>
          <w:tcPr>
            <w:tcW w:w="20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74,360</w:t>
            </w:r>
          </w:p>
        </w:tc>
        <w:tc>
          <w:tcPr>
            <w:tcW w:w="26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w:t>
            </w:r>
          </w:p>
        </w:tc>
        <w:tc>
          <w:tcPr>
            <w:tcW w:w="28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71,889</w:t>
            </w:r>
          </w:p>
        </w:tc>
      </w:tr>
      <w:tr>
        <w:trPr>
          <w:trHeight w:val="25"/>
        </w:trPr>
        <w:tc>
          <w:tcPr>
            <w:tcW w:w="25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45"/>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Tradename</w:t>
            </w:r>
          </w:p>
        </w:tc>
        <w:tc>
          <w:tcPr>
            <w:tcW w:w="2020" w:type="dxa"/>
            <w:vAlign w:val="bottom"/>
            <w:tcBorders>
              <w:bottom w:val="single" w:sz="8" w:color="CCEEFF"/>
            </w:tcBorders>
            <w:shd w:val="clear" w:color="auto" w:fill="CCEEFF"/>
          </w:tcPr>
          <w:p>
            <w:pPr>
              <w:jc w:val="right"/>
              <w:ind w:right="892"/>
              <w:spacing w:after="0"/>
              <w:rPr>
                <w:sz w:val="20"/>
                <w:szCs w:val="20"/>
                <w:color w:val="auto"/>
              </w:rPr>
            </w:pPr>
            <w:r>
              <w:rPr>
                <w:rFonts w:ascii="Times New Roman" w:cs="Times New Roman" w:eastAsia="Times New Roman" w:hAnsi="Times New Roman"/>
                <w:sz w:val="18"/>
                <w:szCs w:val="18"/>
                <w:color w:val="auto"/>
              </w:rPr>
              <w:t>2.0 - 5.0</w:t>
            </w:r>
          </w:p>
        </w:tc>
        <w:tc>
          <w:tcPr>
            <w:tcW w:w="2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8,470</w:t>
            </w:r>
          </w:p>
        </w:tc>
        <w:tc>
          <w:tcPr>
            <w:tcW w:w="26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2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7,724</w:t>
            </w:r>
          </w:p>
        </w:tc>
      </w:tr>
      <w:tr>
        <w:trPr>
          <w:trHeight w:val="240"/>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Conversation data</w:t>
            </w:r>
          </w:p>
        </w:tc>
        <w:tc>
          <w:tcPr>
            <w:tcW w:w="2020" w:type="dxa"/>
            <w:vAlign w:val="bottom"/>
          </w:tcPr>
          <w:p>
            <w:pPr>
              <w:jc w:val="right"/>
              <w:ind w:right="812"/>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26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8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w:t>
            </w:r>
          </w:p>
        </w:tc>
      </w:tr>
      <w:tr>
        <w:trPr>
          <w:trHeight w:val="25"/>
        </w:trPr>
        <w:tc>
          <w:tcPr>
            <w:tcW w:w="258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83"/>
        </w:trPr>
        <w:tc>
          <w:tcPr>
            <w:tcW w:w="25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0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189,755</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7,176</w:t>
            </w:r>
          </w:p>
        </w:tc>
        <w:tc>
          <w:tcPr>
            <w:tcW w:w="28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182,579</w:t>
            </w: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Amortization expense of intangible assets was $5.1 million and $7.2 million for the three and nine months ended September 30, 2024, respectively. These expenses were recorded as $2.7 million and $3.6 million, respectively, within cost of revenues for the three and nine months ended September 30, 2024. There was no amortization expense during the three and nine months ended September 30,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amortization expense of intangible assets held as of September 30, 2024, is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166370</wp:posOffset>
            </wp:positionV>
            <wp:extent cx="7134860" cy="168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Year ending December 31,</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7,636</w:t>
            </w:r>
          </w:p>
        </w:tc>
        <w:tc>
          <w:tcPr>
            <w:tcW w:w="0" w:type="dxa"/>
            <w:vAlign w:val="bottom"/>
          </w:tcPr>
          <w:p>
            <w:pPr>
              <w:spacing w:after="0"/>
              <w:rPr>
                <w:sz w:val="1"/>
                <w:szCs w:val="1"/>
                <w:color w:val="auto"/>
              </w:rPr>
            </w:pPr>
          </w:p>
        </w:tc>
      </w:tr>
      <w:tr>
        <w:trPr>
          <w:trHeight w:val="25"/>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1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30,334</w:t>
            </w:r>
          </w:p>
        </w:tc>
        <w:tc>
          <w:tcPr>
            <w:tcW w:w="0" w:type="dxa"/>
            <w:vAlign w:val="bottom"/>
          </w:tcPr>
          <w:p>
            <w:pPr>
              <w:spacing w:after="0"/>
              <w:rPr>
                <w:sz w:val="1"/>
                <w:szCs w:val="1"/>
                <w:color w:val="auto"/>
              </w:rPr>
            </w:pPr>
          </w:p>
        </w:tc>
      </w:tr>
      <w:tr>
        <w:trPr>
          <w:trHeight w:val="240"/>
        </w:trPr>
        <w:tc>
          <w:tcPr>
            <w:tcW w:w="8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29,372</w:t>
            </w:r>
          </w:p>
        </w:tc>
        <w:tc>
          <w:tcPr>
            <w:tcW w:w="0" w:type="dxa"/>
            <w:vAlign w:val="bottom"/>
          </w:tcPr>
          <w:p>
            <w:pPr>
              <w:spacing w:after="0"/>
              <w:rPr>
                <w:sz w:val="1"/>
                <w:szCs w:val="1"/>
                <w:color w:val="auto"/>
              </w:rPr>
            </w:pPr>
          </w:p>
        </w:tc>
      </w:tr>
      <w:tr>
        <w:trPr>
          <w:trHeight w:val="25"/>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1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26,923</w:t>
            </w:r>
          </w:p>
        </w:tc>
        <w:tc>
          <w:tcPr>
            <w:tcW w:w="0" w:type="dxa"/>
            <w:vAlign w:val="bottom"/>
          </w:tcPr>
          <w:p>
            <w:pPr>
              <w:spacing w:after="0"/>
              <w:rPr>
                <w:sz w:val="1"/>
                <w:szCs w:val="1"/>
                <w:color w:val="auto"/>
              </w:rPr>
            </w:pPr>
          </w:p>
        </w:tc>
      </w:tr>
      <w:tr>
        <w:trPr>
          <w:trHeight w:val="240"/>
        </w:trPr>
        <w:tc>
          <w:tcPr>
            <w:tcW w:w="8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25,398</w:t>
            </w:r>
          </w:p>
        </w:tc>
        <w:tc>
          <w:tcPr>
            <w:tcW w:w="0" w:type="dxa"/>
            <w:vAlign w:val="bottom"/>
          </w:tcPr>
          <w:p>
            <w:pPr>
              <w:spacing w:after="0"/>
              <w:rPr>
                <w:sz w:val="1"/>
                <w:szCs w:val="1"/>
                <w:color w:val="auto"/>
              </w:rPr>
            </w:pPr>
          </w:p>
        </w:tc>
      </w:tr>
      <w:tr>
        <w:trPr>
          <w:trHeight w:val="25"/>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81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62,916</w:t>
            </w:r>
          </w:p>
        </w:tc>
        <w:tc>
          <w:tcPr>
            <w:tcW w:w="0" w:type="dxa"/>
            <w:vAlign w:val="bottom"/>
          </w:tcPr>
          <w:p>
            <w:pPr>
              <w:spacing w:after="0"/>
              <w:rPr>
                <w:sz w:val="1"/>
                <w:szCs w:val="1"/>
                <w:color w:val="auto"/>
              </w:rPr>
            </w:pPr>
          </w:p>
        </w:tc>
      </w:tr>
      <w:tr>
        <w:trPr>
          <w:trHeight w:val="258"/>
        </w:trPr>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182,579</w:t>
            </w:r>
          </w:p>
        </w:tc>
        <w:tc>
          <w:tcPr>
            <w:tcW w:w="0" w:type="dxa"/>
            <w:vAlign w:val="bottom"/>
          </w:tcPr>
          <w:p>
            <w:pPr>
              <w:spacing w:after="0"/>
              <w:rPr>
                <w:sz w:val="1"/>
                <w:szCs w:val="1"/>
                <w:color w:val="auto"/>
              </w:rPr>
            </w:pPr>
          </w:p>
        </w:tc>
      </w:tr>
      <w:tr>
        <w:trPr>
          <w:trHeight w:val="20"/>
        </w:trPr>
        <w:tc>
          <w:tcPr>
            <w:tcW w:w="8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6. ACCRUED LIABILITIES</w:t>
            </w: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81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8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3"/>
        </w:trPr>
        <w:tc>
          <w:tcPr>
            <w:tcW w:w="8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5"/>
        </w:trPr>
        <w:tc>
          <w:tcPr>
            <w:tcW w:w="8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 expenses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10,975</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6,961</w:t>
            </w:r>
          </w:p>
        </w:tc>
        <w:tc>
          <w:tcPr>
            <w:tcW w:w="0" w:type="dxa"/>
            <w:vAlign w:val="bottom"/>
          </w:tcPr>
          <w:p>
            <w:pPr>
              <w:spacing w:after="0"/>
              <w:rPr>
                <w:sz w:val="1"/>
                <w:szCs w:val="1"/>
                <w:color w:val="auto"/>
              </w:rPr>
            </w:pPr>
          </w:p>
        </w:tc>
      </w:tr>
      <w:tr>
        <w:trPr>
          <w:trHeight w:val="24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vendor payables</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3,792</w:t>
            </w:r>
          </w:p>
        </w:tc>
        <w:tc>
          <w:tcPr>
            <w:tcW w:w="0" w:type="dxa"/>
            <w:vAlign w:val="bottom"/>
          </w:tcPr>
          <w:p>
            <w:pPr>
              <w:spacing w:after="0"/>
              <w:rPr>
                <w:sz w:val="1"/>
                <w:szCs w:val="1"/>
                <w:color w:val="auto"/>
              </w:rPr>
            </w:pPr>
          </w:p>
        </w:tc>
      </w:tr>
      <w:tr>
        <w:trPr>
          <w:trHeight w:val="25"/>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lender fees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0" w:type="dxa"/>
            <w:vAlign w:val="bottom"/>
          </w:tcPr>
          <w:p>
            <w:pPr>
              <w:spacing w:after="0"/>
              <w:rPr>
                <w:sz w:val="1"/>
                <w:szCs w:val="1"/>
                <w:color w:val="auto"/>
              </w:rPr>
            </w:pPr>
          </w:p>
        </w:tc>
      </w:tr>
      <w:tr>
        <w:trPr>
          <w:trHeight w:val="24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litigation liabilities</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r>
        <w:trPr>
          <w:trHeight w:val="233"/>
        </w:trPr>
        <w:tc>
          <w:tcPr>
            <w:tcW w:w="8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22,599</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13,884</w:t>
            </w:r>
          </w:p>
        </w:tc>
        <w:tc>
          <w:tcPr>
            <w:tcW w:w="0" w:type="dxa"/>
            <w:vAlign w:val="bottom"/>
          </w:tcPr>
          <w:p>
            <w:pPr>
              <w:spacing w:after="0"/>
              <w:rPr>
                <w:sz w:val="1"/>
                <w:szCs w:val="1"/>
                <w:color w:val="auto"/>
              </w:rPr>
            </w:pPr>
          </w:p>
        </w:tc>
      </w:tr>
      <w:tr>
        <w:trPr>
          <w:trHeight w:val="26"/>
        </w:trPr>
        <w:tc>
          <w:tcPr>
            <w:tcW w:w="8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COMMITMENTS AND CONTINGENCIES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Contracts</w:t>
      </w:r>
    </w:p>
    <w:p>
      <w:pPr>
        <w:spacing w:after="0" w:line="21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 August 2021, the Company entered into an exclusive agreement with a cloud service provider to host its voice artificial intelligence platform pursuant to which the Company committed to pay a minimum of $98.0 million in cloud costs over a seven-year period subject to variable increases based on usage.</w:t>
      </w:r>
    </w:p>
    <w:p>
      <w:pPr>
        <w:sectPr>
          <w:pgSz w:w="11900" w:h="16838" w:orient="portrait"/>
          <w:cols w:equalWidth="0" w:num="1">
            <w:col w:w="11240"/>
          </w:cols>
          <w:pgMar w:left="320" w:top="331"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Aggregate non-cancelable future minimum payments were as follows as of September 30, 2024 (in thousands):</w:t>
            </w: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7"/>
        </w:trPr>
        <w:tc>
          <w:tcPr>
            <w:tcW w:w="9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45"/>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520" w:type="dxa"/>
            <w:vAlign w:val="bottom"/>
            <w:tcBorders>
              <w:bottom w:val="single" w:sz="8" w:color="CCEEFF"/>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w:t>
            </w:r>
          </w:p>
        </w:tc>
      </w:tr>
      <w:tr>
        <w:trPr>
          <w:trHeight w:val="24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w:t>
            </w:r>
          </w:p>
        </w:tc>
      </w:tr>
      <w:tr>
        <w:trPr>
          <w:trHeight w:val="25"/>
        </w:trPr>
        <w:tc>
          <w:tcPr>
            <w:tcW w:w="9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5"/>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w:t>
            </w:r>
          </w:p>
        </w:tc>
      </w:tr>
      <w:tr>
        <w:trPr>
          <w:trHeight w:val="24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24,000</w:t>
            </w:r>
          </w:p>
        </w:tc>
      </w:tr>
      <w:tr>
        <w:trPr>
          <w:trHeight w:val="25"/>
        </w:trPr>
        <w:tc>
          <w:tcPr>
            <w:tcW w:w="9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65"/>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w:t>
            </w:r>
          </w:p>
        </w:tc>
      </w:tr>
      <w:tr>
        <w:trPr>
          <w:trHeight w:val="258"/>
        </w:trPr>
        <w:tc>
          <w:tcPr>
            <w:tcW w:w="9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80,750</w:t>
            </w:r>
          </w:p>
        </w:tc>
      </w:tr>
      <w:tr>
        <w:trPr>
          <w:trHeight w:val="20"/>
        </w:trPr>
        <w:tc>
          <w:tcPr>
            <w:tcW w:w="97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Legal Proceedings</w:t>
      </w:r>
    </w:p>
    <w:p>
      <w:pPr>
        <w:spacing w:after="0" w:line="21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From time to time, the Company may have certain contingent liabilities that arise in the ordinary course of its business activities. The Company accrues contingent liabilities when it is probable that future expenditures will be made, and such expenditures can be reasonably estimated. Prior to the SYNQ3 Acquisition, SYNQ3 filed a litigation against its landlord, TEBO in the United States District Court of Colorado, and TEBO counterclaimed in May 2022. On June 2, 2022, the District Court entered a judgment that was in favor of SYNQ3. TEBO filed the notice of appeal in July, 2023. On June 27, 2024, the Colorado Court of Appeals reversed the judgment and remanded the case to the District Court to enter judgment in favor of TEBO on both SYNQ3’s claim and TEBO’s counterclaim and to conduct further proceedings as are necessary to determine the damages, attorney fees and costs, if any, to be awarded to TEBO. In accordance with ASC 450, Contingencies, the Company estimated and recorded a liability of $1.9 million under accrued liabilities as of September 30,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Matters</w:t>
      </w:r>
    </w:p>
    <w:p>
      <w:pPr>
        <w:spacing w:after="0" w:line="21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 continues to analyze potential sales tax exposure using a state-by-state assessment. In accordance with ASC 450, Contingencies, the Company estimated and recorded a liability of $3.4 million as of September 30, 2024 and $0.2 million as of December 31, 2023.</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WARRANTS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Term Loan Warrants</w:t>
      </w:r>
    </w:p>
    <w:p>
      <w:pPr>
        <w:spacing w:after="0" w:line="2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connection with the Credit Agreement (as defined in Note 9), the Company issued warrants to purchase up to 3,301,536 shares of the Company’s Class A Common Stock to the lenders (the “Term Loan Warrants”). The Term Loan Warrants have a per share exercise price of $2.59 and may be exercised, including on a cashless basis, by the holder at any time prior to the 10-year anniversary of the issue date. The Term Loan Warrants will be automatically cashless exercised immediately prior to a change in control of the Company. The Term Loan Warrants are indexed to the Company's stock and were classified as an equity instrument. On the Term Loan Closing Date, this resulted in the Company allocating the gross proceeds and issuance costs between the Term Loan and the Term Loan Warrants based on their relative fair values, resulting in the initial recognition of the Term Loan Warrant at $4.1 million as additional paid-in-capital on the condensed consolidated balance sheets.</w:t>
      </w:r>
    </w:p>
    <w:p>
      <w:pPr>
        <w:spacing w:after="0" w:line="187"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7"/>
          <w:szCs w:val="17"/>
          <w:color w:val="auto"/>
        </w:rPr>
        <w:t>In March 2024, the Company issued 2,269,982 shares of the Company's Class A Common Stock resulting from the cashless exercise in full of the Term Loan Warrants that were outstanding. As of September 30, 2024, all of the Term Loan Warrants had been exercised and no Term Loan Warrants are outstanding.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Warrants Related to the ATSP Merger</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2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April 26, 2022 (the "Closing"), pursuant to a merger agreement dated as of November 15, 2021 by and among Archimedes Tech SPAC Partners Co. (“ATSP”), ATSPC Merger Sub, Inc. and SoundHound, Inc. (“Legacy SoundHound”), the parties consummated the merger of ATSPC Merger Sub, Inc. with and into Legacy SoundHound, with</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Legacy SoundHound continuing as the surviving corporation, as well as the other transactions contemplated by the Merger Agreement (the merger and such other transactions collectively referred to the “ATSP Merger”).</w:t>
      </w:r>
    </w:p>
    <w:p>
      <w:pPr>
        <w:spacing w:after="0" w:line="1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Prior to the ATSP Merger, ATSP issued public warrants ("Public Warrants"). Each Public Warrant entitles the holder to the right to purchase one share of common stock at an exercise price of $11.50 per share. No fractional shares were issued upon exercise of the Public Warrants. The Company may redeem the outstanding warrants, for $0.01 per warrant, upon not less than 30 days’ prior written notice of redemption, if the reported last sale price of the common stock equals or exceeds $18.00 per share (as adjusted for stock dividends, sub-divisions, reorganizations, recapitalizations and the like) for any 20 trading days within a 30-trading day period commencing after the warrants become exercisable and ending on the third trading day before the Company sends the notice of redemption to the warrant holders. Upon issuance of a redemption notice by the Company, the warrant holders may, at any time after the redemption notice, exercise the Public Warrants for cash, or on a cashless basis.</w:t>
      </w:r>
    </w:p>
    <w:p>
      <w:pPr>
        <w:spacing w:after="0" w:line="18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Subsequent to the closing of the ATSP Merger, the Company’s Public Warrants continue to be classified as equity instruments, as they are indexed to the Company’s stock.</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Warrants</w:t>
      </w:r>
    </w:p>
    <w:p>
      <w:pPr>
        <w:spacing w:after="0" w:line="2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Prior to the ATSP Merger, ATSP issued private warrants ("Private Warrants"). The Private Warrants were initially issued in the same form as the Public Warrants with the exception that the Private Warrants: (i) would not be redeemable by the Company and (ii) may be exercised for cash or on a cashless basis, so long as they are held by the initial purchasers or any of their permitted transferees. If the Private Warrants are held by holders other than the initial purchasers or any of their permitted transferees, the Private Warrants will be redeemable by the Company and exercisable by the holders on the same basis as the Public Warrants.</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Private Warrants were initially classified as derivative liability instruments as they met the definition of a derivative and were not considered indexed in the Company’s own stock as the settlement value could be dependent on who held the Private Warrants at the time of exercise. Upon the Closing of the ATSP Merger, the Company modified its Private Warrants to be identical to its Public Warrants. Therefore, the Private Warrants met requirements for classification as equity instruments, as they are indexed to the Company’s stock.</w:t>
      </w:r>
    </w:p>
    <w:p>
      <w:pPr>
        <w:spacing w:after="0" w:line="180"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As of September 30, 2024, there were 3,665,996 Public Warrants and Private Warrants issued and outstanding. There have been no exercises during the three and nine months ended September 30, 2024 and September 30, 2023.</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NOTE PAYABLE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SVB March 2021 Note</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March 2021, the Company entered into a loan and security agreement with a commercial bank to borrow $30.0 million. The loan bore interest at an annual rate equal to the greater of 9.00% or 5.75% above the Prime Rate. During the three and nine months ended September 30, 2023, the interest rate was 13.50%. Payments were interest-only for the first twelve months and are now principal and interest through maturity. During the nine months ended September 30, 2023, the Company recorded $1.1 million in interest expense.</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Concurrently with the Company's entry into the Credit Agreement (as defined below), the Company used a portion of the proceeds to prepay in full all outstanding obligations under, and terminated, the SVB March 2021 Note. In connection with the SVB March 2021 Note prepayment, the Company paid a total of $18.5 million on April 14, 2023, which consisted of (i) the remaining principal amount outstanding of $18.1 million, (ii) a prepayment premium of $0.3 million, (iii) accrued and unpaid interest of $0.1 million and (iv) a nominal amount for transaction expenses, resulting in a loss on debt extinguishment of $0.4 million.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SCI June 2021 Note</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June 2021, the Company entered into a loan and security agreement with a lender to obtain credit extensions to the Company. Extensions were available in $5.0 million increments up to a total commitment amount of $15.0 million. The Company drew an initial $5.0 million on June 14, 2021 and the remaining $10.0 million on December 1, 2021. The loan bore interest at an annual rate equal to the greater of 9.00% or 5.75% above the Prime Rate. During the three months ended September 30, 2023, the interest rate was 13.50%. Payments were interest-only for the first twelve months and principal and interest through maturity. During the nine months ended September 30, 2023, the Company recorded $1.0 million in interest expense.</w:t>
      </w:r>
    </w:p>
    <w:p>
      <w:pPr>
        <w:spacing w:after="0" w:line="1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Concurrently with the Company’s entry into the Credit Agreement (as defined below), the Company used a portion of the proceeds to prepay in full all outstanding obligations under, and terminated, the SCI June 2021 Note. In connection with the SCI June 2021 Note prepayment on April 14, 2023, the Company paid a total of approximately $11.7 million, which consisted of (i) the remaining principal amount outstanding of approximately $11.5 million, (ii) a prepayment premium of approximately $0.2 million and (iii) a nominal amount for transaction expenses, resulting in loss on debt extinguishment of $0.4 million.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 Loan</w:t>
      </w:r>
    </w:p>
    <w:p>
      <w:pPr>
        <w:spacing w:after="0" w:line="21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On April 14, 2023 (the “Term Loan Closing Date”), the Company entered into a Senior Secured Term Loan Credit Agreement (the “Credit Agreement”). The Credit Agreement provides for a term loan facility in an aggregate principal amount of up to $100.0 million (the “Term Loan”). The Credit Agreement also permits the Company to request additional commitments of up to $25.0 million in the aggregate, with funding of such commitments in the sole discretion of the lenders under certain circumstances, which will be subject to the same terms as the Term Loan if funded. On the Term Loan closing date, the Company also entered into a Guarantee and Collateral Agreement. In addition, the Company is obligated to pay incremental lender fees (the "Lender fees"), beginning on the Term Loan closing date, initially at a rate of 3.5% of the principal amount of the Term Loans for the first 18 months paid semi-annually to provide a collateral protection insurance policy on behalf of the lenders. Such rate for the Lender Fees will decrease to 2.5% after the 18-month anniversary of the Term Loan Closing Date. As the lenders are the sole beneficiary of the insurance policy, the Lender Fees are deemed to be additional fees payable to the Lenders and is therefore being recognized as interest expense over the term of the Term Loan based on effective interest method.</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used the proceeds from the Term Loan to (i) repay outstanding amounts equal to approximately $30.0 million under the Company’s existing loan facilities, (ii) fund an escrow account on the Term Loan Closing Date for an amount equal to the first four interest payments, (iii) pay certain fees and expenses incurred in connection with entering into the Credit Agreement, and (iv) fund the Lender Fees, together with related taxes, with the remaining proceeds to be used to fund growth investments and for general corporate purposes as permitted under the Credit Agreement.</w:t>
      </w:r>
    </w:p>
    <w:p>
      <w:pPr>
        <w:spacing w:after="0" w:line="18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outstanding principal balance of the Term Loan bears interest at the applicable margin plus, at the Company’s election, either (i) the Term SOFR published by CME Group Benchmark Administration Limited for a one-month interest period plus 0.15% or (ii) the alternate base rate (“ABR”), which is a per annum rate equal to the greatest of (a) the Prime Rate (as defined in the Credit Agreement), (b) the NYFRB Rate (as defined in the Credit Agreement) plus 0.50% and (c) the Term SOFR plus 1.00%. The applicable margin under the Credit Agreement is 8.50% per annum with respect to SOFR loans, and 7.50% per annum with respect to ABR loans. As of June 30, 2024, the contractual interest rate was approximately 14.0%. The Company was amortizing the discounts on an effective interest basis over the period from issuance through April 14, 2027 (the “Maturity Date”). The effective interest rate was 25.18% for the quarter ended June 30, 2024. The Company incurred $6.0 million in stated interest in the condensed consolidated statements of operations and comprehensive loss for the nine months ended September 30, 2024, and paid $3.5 million for the period. During the nine months ended September 30, 2024, the Company recorded $1.5 million in interest expense related to the debt discount.</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June 7, 2024, the Company entered into a letter agreement (the “Payoff Letter”) to prepay in full all indebtedness and other amounts outstanding and owing under the Credit Agreement. In connection with the Term Loan prepayment, the Company paid a total of $105.6 million on June 7, 2024, which consisted of (i) the remaining principal amount outstanding of $100.0 million, (ii) a prepayment premium of $5.0 million, (iii) transaction expenses of $0.6 million, resulting in a loss on debt extinguishment of $15.6 million. Accordingly, the accrued and unpaid interest of $2.6 million was waived under the Payoff Letter.</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Amelia Debt</w:t>
      </w:r>
    </w:p>
    <w:p>
      <w:pPr>
        <w:spacing w:after="0" w:line="21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In connection with the Amelia Acquisition, the Company assumed the amended senior secured term loan facility from Amelia in an aggregate principal amount of $121.5 million, which was issued pursuant to the existing Credit Agreement (the “Credit Agreement”) of Amelia with Monroe Capital Management Advisors, LLC (“Monroe”), as administrative and collateral agent for certain affiliated funds of Monroe, as lenders. In accordance with the terms of the debt assumed, on August 7, 2024, the Company paid $70.0 million in cash to pay down a portion of the outstanding principal balance and issued 2,943,917 shares of Class A common stock to settle certain fees associated with the Amelia Debt. The remaining outstanding balance of $39.7 million has a maturity date of June 30, 2026 (the “Maturity Date”) and provides, at the Company’s election, for payment of a portion of interest in cash or in kind ("PIK"), in which case interest will be capitalized and added to the outstanding principal amount, with principal and accrued interest due at the Maturity Date. The Amelia Debt may be prepaid at any time and must be prepaid, along with the applicable prepayment premium and exit fee, upon the occurrence of certain future events. The Amelia Debt will accrue interest at an annual rate equal to the sum of (a) Adjusted Term SOFR and (b)(i) an applicable margin of 9.00% for the portion of interest paid in cash, and (ii) an additional 1.00% for the portion of interest paid in kind. Upon an event of default, the interest rate will automatically increase by an additional 2.00% per annum, and may result in the declaration that all outstanding principal and interest under the Amelia Debt be immediately due and payable in whole or in part. During the three months ended September 30, 2024, the Company recorded and paid $1.0 million in interest expense, of which $0.1 million was paid to settle the PIK that was capitalized and added to the outstanding principal amount during the three months ended September 30,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debt balances as of September 30, 2024 and December 31, 2023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18"/>
                <w:szCs w:val="18"/>
                <w:color w:val="auto"/>
              </w:rPr>
            </w:pPr>
          </w:p>
        </w:tc>
        <w:tc>
          <w:tcPr>
            <w:tcW w:w="134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3"/>
        </w:trPr>
        <w:tc>
          <w:tcPr>
            <w:tcW w:w="8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
        </w:trPr>
        <w:tc>
          <w:tcPr>
            <w:tcW w:w="8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4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Amelia Debt</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39,694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5"/>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discount and debt issuance costs</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(15,688)</w:t>
            </w:r>
          </w:p>
        </w:tc>
      </w:tr>
      <w:tr>
        <w:trPr>
          <w:trHeight w:val="258"/>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Carrying value of long-term debt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39,694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84,312</w:t>
            </w:r>
          </w:p>
        </w:tc>
      </w:tr>
      <w:tr>
        <w:trPr>
          <w:trHeight w:val="20"/>
        </w:trPr>
        <w:tc>
          <w:tcPr>
            <w:tcW w:w="8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RESTRUCTURING</w:t>
      </w:r>
    </w:p>
    <w:p>
      <w:pPr>
        <w:spacing w:after="0" w:line="2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January 2023, the Company announced a restructuring plan (the “Restructuring Plan”) intended to reduce operating costs, improve operating margins, improve cash flows and accelerate the Company’s path to profitability. The Restructuring Plan included a reduction of the Company’s then-current workforce by approximately 40% or 180 positions globally.</w:t>
      </w:r>
    </w:p>
    <w:p>
      <w:pPr>
        <w:spacing w:after="0" w:line="1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Costs associated with the Restructuring Plan consisted of employee severance payments, employee benefits and share-based compensation. The costs associated with the Restructuring Plan were recorded to the restructuring expense line item within our condensed consolidated statements of operations as incurred. During the nine months ended September 30, 2023, we recorded $3.8 million of restructuring expenses in connection with the Restructuring Plan, of which $1.4 million were cash payments. The Restructuring Plan was substantially complete as of December 31,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PREFERRED STOCK</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Series A Preferred Stock</w:t>
      </w:r>
    </w:p>
    <w:p>
      <w:pPr>
        <w:spacing w:after="0" w:line="2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Between January 18, 2023 and January 20, 2023, the Company entered into Preferred Stock Purchase Agreements (the “Purchase Agreements”) with certain investors (the “Investors”), pursuant to which the Company issued and sold to the Investors an aggregate of 835,011 shares of its newly designated Series A Convertible Preferred Stock for issuance price of $30.00 per share, raising an aggregate of approximately $25.0 million in cash proceeds. As of September 30,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r>
        <w:rPr>
          <w:rFonts w:ascii="Times New Roman" w:cs="Times New Roman" w:eastAsia="Times New Roman" w:hAnsi="Times New Roman"/>
          <w:sz w:val="21"/>
          <w:szCs w:val="21"/>
          <w:color w:val="auto"/>
        </w:rPr>
        <w:t>, a</w:t>
      </w:r>
      <w:r>
        <w:rPr>
          <w:rFonts w:ascii="Times New Roman" w:cs="Times New Roman" w:eastAsia="Times New Roman" w:hAnsi="Times New Roman"/>
          <w:sz w:val="18"/>
          <w:szCs w:val="18"/>
          <w:color w:val="auto"/>
        </w:rPr>
        <w:t>ll the Series A Preferred Stock have been converted to Class A Common Stock.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 Preference</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Liquidation Preference per share of Preferred Stock was initially equal to $30.00, the original issue price per share. On January 1, 2024, the Company's Series A Preferred Stock holders received their latest dividends paid-in-kind as an increase in Liquidation Preference, thereby increasing the Liquidation Preference per share to approximately $34.13.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Series A Preferred Stock is not mandatorily redeemable.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22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Each share of Series A Preferred Stock is convertible, at the option of the holder, into such number of shares of Class A Common Stock equal to the Liquidation Preference per share at the time of conversion divided by $1.00 (the “Conversion Price”). In addition, each share of Series A Preferred Stock will automatically convert into shares of Class A Common Stock at the Conversion Price on or after January 20, 2024 if and when the daily volume-weighted average closing price per share of Class A Common Stock is at least 2.5 times the Conversion Price for each of any 90 trading days during any 120 consecutive trading day period, which 120-trading day period may commence (but may not end) prior to January 20, 2024. As of September 30, 2024, the condition of automatic conversion was met and all the remaining Series A Preferred Stock were automatically converted.</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During the nine months ended September 30, 2024, 475,005 shares of preferred stock were converted into 16,624,215 shares of Class A Common Stock. The conversion was pursuant to the original terms of the agreement and therefore the carrying value of Series A Preferred Stock was converted into Class A Common Stock with no gain or loss upon conversion. There was no conversions during the three months ended September 30, 2024.</w:t>
      </w:r>
    </w:p>
    <w:p>
      <w:pPr>
        <w:spacing w:after="0" w:line="17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During the three and nine months ended September 30, 2023, some Investors optionally converted 353,338 shares of preferred stock into 11,375,090 shares of Class A Common Stock. The conversion was pursuant to the original terms of the agreement and therefore the carrying value of Series A Preferred Stock was converted into Class A Common Stock with no gain or loss upon conversion.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Investors do not have voting rights, except with respect to certain protective provisions and as required by the Delaware General Corporation Law. However, as long as the Series A Preferred Stock are outstanding, the Company may not take certain actions that may materially and adversely impact the powers, preferences, or rights of the Investors without the consent of at least a majority of the Investors.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COMMON STOCK</w:t>
      </w:r>
    </w:p>
    <w:p>
      <w:pPr>
        <w:spacing w:after="0" w:line="2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is authorized to issue 500,000,000 shares of capital stock, consisting of (a) 455,000,000 shares of Class A Common Stock with a par value of $0.0001 per share, (b) 44,000,000 shares of Class B Common Stock with a par value of $0.0001 per share, and (c) 1,000,000 shares of preferred stock with a par value of $0.0001 per share. The outstanding shares of the Company’s common stock are fully paid and non-assessable.</w:t>
      </w:r>
    </w:p>
    <w:p>
      <w:pPr>
        <w:spacing w:after="0" w:line="178"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8"/>
          <w:szCs w:val="18"/>
          <w:color w:val="auto"/>
        </w:rPr>
        <w:t>On all matters to be voted upon, subject to the rights of any holders of any series of preferred stock, holders of shares of Class A Common Stock and Class B Common Stock will vote together as a single class on all matters submitted to the stockholders for their vote or approval. Holders of Class A and B Common Stock are entitled to one vote and ten votes per share respectively on all matters submitted to the stockholders for their vote or approval.</w:t>
      </w:r>
    </w:p>
    <w:p>
      <w:pPr>
        <w:spacing w:after="0" w:line="17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Each share of Class B Common Stock shall convert into one fully paid and nonassessable share of Class A Common Stock upon mandatory or optional conversion. Shares of Class B Common Stock will be automatically converted into shares of Class A Common Stock upon the occurrence of certain future events, generally including transfers, subject to limited exceptions set forth in the amended charter. The conversion of Class B Common Stock to Class A Common Stock will have the effect, over time, of increasing the relative voting power of those holders of Class B Common Stock who retain their shares in the long term. As a result, it is possible that one or more of the persons or entities holding our Class B</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Common Stock could gain significant voting control as other holders of Class B Common Stock sell or otherwise convert their shares into Class A Common Stock.</w:t>
      </w:r>
    </w:p>
    <w:p>
      <w:pPr>
        <w:spacing w:after="0" w:line="1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three and nine months ended September 30, 2024, certain holders of Class B Common Stock optionally converted zero and 4,750,000 shares, respectively, of Class B Common Stock into the same number of shares of Class A Common Stock. During the three and nine months ended September 30, 2023, certain holders of Class B Common Stock optionally converted 550,000 and 2,250,000 shares, respectively of Class B Common Stock into the same number of shares of Class A Common Stock.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Equity Line of Credit ("ELOC")</w:t>
      </w:r>
    </w:p>
    <w:p>
      <w:pPr>
        <w:spacing w:after="0" w:line="2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August 16, 2022, the Company entered into a common stock purchase agreement (“Common Stock Purchase Agreement”) and related registration rights agreement (the “CFPI Registration Rights Agreement”) with CF Principal Investments LLC (the “Counterparty”). Pursuant to the Common Stock Purchase Agreement, the Company had the right, but not the obligation, to direct the Counterparty to purchase up to 25,000,000 shares of Class A Common Stock, subject to certain limitations and conditions (the "ELOC Program") at a purchase price equal to 97% of the volume weighted average stock price for a given purchase date. In connection with the execution of the Common Stock Purchase Agreement and the side letter on February 14, 2023, the Company issued 250,000 shares of Common Stock (the “Initial Commitment Shares”), and additional cash commitment fee of $0.3 million.</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recorded Common Stock Purchase Agreement as a derivative liability with an initial fair value of $1.1 million based on the upfront commitment fee in the form of proceeds from future issuance of commitment shares to the Counterparty plus certain fees and expenses as specified in the Purchase Agreement.</w:t>
      </w:r>
    </w:p>
    <w:p>
      <w:pPr>
        <w:spacing w:after="0" w:line="1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recorded loss on changes in the fair value of the derivative liability associated with the ELOC Program of $1.9 million for the nine months ended September 30, 2023 as other income (expense), net on its condensed consolidated statements of operations and comprehensive loss. The Company incurred third-party costs of $0.2 million related to the execution of the Common Stock Purchase Agreement which were recorded as general and administrative expenses in the condensed consolidated statements of operations and comprehensive loss for the nine months ended September 30, 2023.</w:t>
      </w:r>
    </w:p>
    <w:p>
      <w:pPr>
        <w:spacing w:after="0" w:line="18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During the nine months ended September 30, 2023, the Company sold the entirety of the 25,000,000 shares for aggregate proceeds of approximately $71.7 million, with the volume weighted average stock price of shares purchased by the Counterparty ranging from $1.75 to $4.26 per share.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Sales Agreement</w:t>
      </w:r>
    </w:p>
    <w:p>
      <w:pPr>
        <w:spacing w:after="0" w:line="2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On July 28, 2023, the Company entered into a Controlled Equity Offering Sales Agreement (the “Sales Agreement”) with Cantor Fitzgerald &amp; Co., H.C. Wainwright &amp; Co., LLC, and D.A. Davidson &amp; Co. (each a “Sales Agent” and collectively, the “Sales Agents”), pursuant to which the Company may offer and sell up to $150,000,000 of shares of our Class A Common Stock from time to time through or to the Sales Agents acting as agent or principal. Sales of our Class A Common Stock under the Sales Agreement were made at market prices by any method that is deemed to be an “at the market offering” as defined in Rule 415 under the Securities Act. The Sales Agents were entitled to aggregate compensation at a fixed commission rate of 2.5% of the gross sales price per share sold under the Sales Agreement. We also agreed to reimburse the Sales Agents for certain specified expenses, including the reasonable and documented fees and disbursements of its legal counsel in an amount of $75,000 in the aggregate in connection with the execution of the Sales Agreement.</w:t>
      </w:r>
    </w:p>
    <w:p>
      <w:pPr>
        <w:spacing w:after="0" w:line="1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 sold a total of zero and 37,907,219 shares, respectively, of our common stock under the Sales Agreement, at a weighted-average price of $3.62 per share and raised $137.3 million of gross proceeds, which resulted in complete utilization of the Sales Agreement as of March 31, 2024. After deducting approximately $3.4 million of commissions and offering costs incurred by the Company, the net proceeds from sales of common stock was $133.8 million.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Equity Distribution Agreement</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April 9, 2024, the Company entered into an Equity Distribution Agreement (the “Equity Distribution Agreement”) with Citigroup Global Markets Inc., Barclays Capital Inc., Wedbush Securities Inc., Northland Securities, Inc. and Ladenburg Thalmann &amp; Co. Inc. (the “Managers”) with respect to an at-the-market equity program under which the Company may offer and sell aggregate gross sale proceeds up to $150,000,000 of shares of its Class A Common Stock from time to time through the Managers. Sales of Class A Common Stock under the Equity Distribution Agreement will be made at market prices by any method that is deemed to be an “at the market offering” as defined in Rule 415 under the Securities Act. The Managers were entitled to commission at a fixed rate of 2.5% of the gross sales price per share for their services in acting as agent in the sale of the Company's Class A Common Stock.</w:t>
      </w:r>
    </w:p>
    <w:p>
      <w:pPr>
        <w:spacing w:after="0" w:line="18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 sold a total of 10,465,581 and 31,694,198 shares of our common stock under the Equity Distribution Agreement, at a weighted-average price of $4.74 and $4.73 per share, respectively, and raised $49.6 million and $150.0 million of gross proceeds, respectively. After deducting approximately $1.2 million and $3.7 million, respectively, of commissions and offering costs incurred by the Company, the net proceeds from sales of common stock was $48.4 million and $146.2 million respectively during the three and nine months ended September 30, 2024. As of September 30, 2024, the Company had no remaining capacity to sell the Company's common stock under the Equity Distribution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STOCK INCENTIVE PLANS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2016 Equity Incentive Plan</w:t>
      </w:r>
    </w:p>
    <w:p>
      <w:pPr>
        <w:spacing w:after="0" w:line="2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April 2016, we adopted the 2016 Equity Incentive Plan (the “2016 Plan”) as a successor and continuation of the 2006 Plan. Under the 2016 Plan, the Company was permitted to grant awards of stock options and Restricted Stock Units ("RSUs"), as well as stock appreciation rights and other stock awards. The Company no longer has shares available for issuance under the 2016 Plan.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Incentive Award Plan</w:t>
      </w:r>
    </w:p>
    <w:p>
      <w:pPr>
        <w:spacing w:after="0" w:line="2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adopted the 2022 Incentive Award Plan (the “2022 Incentive Plan”, collectively, with the 2006 Plan and the 2016 Plan, the “Plans”) effective April 26, 2022. The Company reserved 19,650,371 shares of Class A Common Stock for the issuance of awards under the 2022 Incentive Plan ("the Initial Limit"). The Initial Limit represents 10% of the aggregate number of shares of the Company’s common stock outstanding immediately after the Closing and is subject to increase each year over a ten-year period. As of September 30, 2024, the Company had 284,248 shares remaining for issuance under the 2022 Incentive Plan.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Employee Stock Purchase Plan</w:t>
      </w:r>
    </w:p>
    <w:p>
      <w:pPr>
        <w:spacing w:after="0" w:line="2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adopted the 2022 Employee Stock Purchase Plan (the “ESPP”) effective April 26, 2022. An aggregate of 3,930,074 shares of the Company’s Class A Common Stock has been reserved for issuance or transfer pursuant to rights granted under the ESPP (“Aggregate Number”). As of September 30, 2024, 816,479 shares of Class A Common Stock were issued under the ESPP.</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Employment Inducement Incentive Award Plan</w:t>
      </w:r>
    </w:p>
    <w:p>
      <w:pPr>
        <w:spacing w:after="0" w:line="2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adopted 2024 Employment Inducement Incentive Award Plan (the “2024 Inducement Plan”) effective August 6, 2024. The Company reserved 6,000,000 shares of Class A Common Stock for the issuance of awards under the 2024 Inducement Plan. As of September 30, 2024, no shares were issued under the 2024 Inducement Plan.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Options granted generally have a maximum term of 10 years from grant date, are exercisable upon vesting unless otherwise designated for early exercise by the Board of Directors at the time of grant, and generally vest over a four-year period, with a 25% cliff vesting after one year and then ratably on a monthly basis for the remaining three years.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of September 30, 2024, the total unrecognized stock-based compensation expense related to the unvested stock options was approximately $1.9 million, which we expect to recognize over a weighted-average period of 0.91 years. There were no options granted during the three and nine months ended September 30,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("RSUs")</w:t>
      </w:r>
    </w:p>
    <w:p>
      <w:pPr>
        <w:spacing w:after="0" w:line="2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RSUs granted generally vest over a four-year period, with 25% cliff vesting after one year and then ratably on a monthly basis for the remaining three years. Besides RSUs with vesting condition tied to requisite service period, the Company also issues RSUs with vesting conditions tied to certain market conditions (“Market-Based RSUs”) and RSUs with vesting conditions tied to certain performance criteria ("Performance-Based RSUs").</w:t>
      </w:r>
    </w:p>
    <w:p>
      <w:pPr>
        <w:spacing w:after="0" w:line="17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connection with the SYNQ3 Acquisition, the Company granted 1,434,978 RSUs (the "Retention Pool"), 25% of which is subject to service conditions that vest at the end of each of the upcoming three fiscal years and 75% of which is subject to both service and performance-based vesting conditions at the end of each of the upcoming three fiscal years, respectively.</w:t>
      </w:r>
    </w:p>
    <w:p>
      <w:pPr>
        <w:spacing w:after="0" w:line="17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performance level for each of the fiscal years 2024, 2025 and 2026 is based on tiered annual revenue targets, subject to a floor of $9.0 million, $21.0 million and $30.0 million, respectively, with vesting ranging from 50% to 100% of the RSUs granted depending on the level of achievement of the specified revenue target in each year.</w:t>
      </w:r>
    </w:p>
    <w:p>
      <w:pPr>
        <w:spacing w:after="0" w:line="17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 assesses the probability of vesting of the above performance-based awards from the Retention Pool every reporting period. As of September 30, 2024, performance level of 2024 revenue amount was not probable of being met and performance levels of 2025 and 2026 were probable of being met.</w:t>
      </w:r>
    </w:p>
    <w:p>
      <w:pPr>
        <w:spacing w:after="0" w:line="16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also granted 1,952,000 RSUs that vest over a four-year requisite service period to SYNQ3 employees. Additionally, the Company granted 9,254,425 and 10,259,633 RSUs, respectively, to other employees of the Company during the three and nine months ended September 30, 2024. As a result, the Company granted total of 9,254,425 and 13,646,611 RSUs, respectively, during the three and nine months ended September 30, 2024.</w:t>
      </w:r>
    </w:p>
    <w:p>
      <w:pPr>
        <w:spacing w:after="0" w:line="17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As of September 30, 2024, the total unrecognized stock-based compensation expense related to the unvested RSUs with service conditions was approximately $76.5 million.</w:t>
      </w:r>
    </w:p>
    <w:p>
      <w:pPr>
        <w:spacing w:after="0" w:line="163"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As of September 30, 2024, the total unrecognized stock-based compensation expense related to the unvested Market-Based RSUs was approximately $26.6 thousand. There were no Market-Based RSUs granted during the three and nine months ended September 30, 2024.</w:t>
      </w:r>
    </w:p>
    <w:p>
      <w:pPr>
        <w:spacing w:after="0" w:line="16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As of September 30, 2024, the total unrecognized stock-based compensation expense related to the unvested Performance-based RSUs was approximately $8.6 million. There were zero and 1,376,234 Performance-Based RSUs, respectively, granted during the three and nine months ended September 30, 2024.</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total unrecognized stock-based compensation related to unvested RSUs is $85.1 million and this will vest over a weighted average period of 2.50 years.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connection with the SYNQ3 Acquisition, a total of 2,033,156 unvested restricted Class A Common Stock shares </w:t>
      </w:r>
      <w:r>
        <w:rPr>
          <w:rFonts w:ascii="Times New Roman" w:cs="Times New Roman" w:eastAsia="Times New Roman" w:hAnsi="Times New Roman"/>
          <w:sz w:val="18"/>
          <w:szCs w:val="18"/>
          <w:i w:val="1"/>
          <w:iCs w:val="1"/>
          <w:color w:val="auto"/>
        </w:rPr>
        <w:t>("RSAs")</w:t>
      </w:r>
      <w:r>
        <w:rPr>
          <w:rFonts w:ascii="Times New Roman" w:cs="Times New Roman" w:eastAsia="Times New Roman" w:hAnsi="Times New Roman"/>
          <w:sz w:val="18"/>
          <w:szCs w:val="18"/>
          <w:color w:val="auto"/>
        </w:rPr>
        <w:t xml:space="preserve"> were issued, 25% of which are subject to service conditions that vest at the end of each of the upcoming three fiscal years in three tranches, and 75% of which is subject to both service and performance-based vesting conditions in three tranches.</w:t>
      </w:r>
    </w:p>
    <w:p>
      <w:pPr>
        <w:spacing w:after="0" w:line="17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performance level for each of the fiscal years 2024, 2025 and 2026 is based on tiered annual revenue targets, subject to a floor of $9.0 million, $21.0 million and $30.0 million, respectively, with vesting ranging from 50% to 100% of the RSAs granted depending on the level of achievement of the specified revenue target in each year.</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 assesses the probability of vesting of the above performance-based awards every reporting period. As of September 30, 2024, the performance level of the 2024 revenue amount was not probable of being met and performance levels of 2025 and 2026 were probable of being met.</w:t>
      </w:r>
    </w:p>
    <w:p>
      <w:pPr>
        <w:spacing w:after="0" w:line="16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of September 30, 2024, the total unrecognized stock-based compensation expense related to the unvested RSAs subject to service-based vesting condition and unvested RSAs subject to performance-based vesting condition was approximately $0.8 million and $2.7 million, respectively, over a weighted average period of 2.01 years. Refer to Note 3 for further information on the SYNQ3 Acquisition.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1"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Stock-based compensation is classified in the following expense accounts on the condensed consolidated statements of operations and comprehensive loss for the period ended September 30, 2024, and 2023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80" w:type="dxa"/>
            <w:vAlign w:val="bottom"/>
          </w:tcPr>
          <w:p>
            <w:pPr>
              <w:spacing w:after="0"/>
              <w:rPr>
                <w:sz w:val="18"/>
                <w:szCs w:val="18"/>
                <w:color w:val="auto"/>
              </w:rPr>
            </w:pPr>
          </w:p>
        </w:tc>
        <w:tc>
          <w:tcPr>
            <w:tcW w:w="2520" w:type="dxa"/>
            <w:vAlign w:val="bottom"/>
            <w:gridSpan w:val="4"/>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80" w:type="dxa"/>
            <w:vAlign w:val="bottom"/>
            <w:gridSpan w:val="4"/>
          </w:tcPr>
          <w:p>
            <w:pPr>
              <w:jc w:val="right"/>
              <w:ind w:right="652"/>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3"/>
        </w:trPr>
        <w:tc>
          <w:tcPr>
            <w:tcW w:w="50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80" w:type="dxa"/>
            <w:vAlign w:val="bottom"/>
            <w:gridSpan w:val="3"/>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Pr>
          <w:p>
            <w:pPr>
              <w:spacing w:after="0"/>
              <w:rPr>
                <w:sz w:val="20"/>
                <w:szCs w:val="20"/>
                <w:color w:val="auto"/>
              </w:rPr>
            </w:pPr>
          </w:p>
        </w:tc>
      </w:tr>
      <w:tr>
        <w:trPr>
          <w:trHeight w:val="25"/>
        </w:trPr>
        <w:tc>
          <w:tcPr>
            <w:tcW w:w="50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3"/>
        </w:trPr>
        <w:tc>
          <w:tcPr>
            <w:tcW w:w="50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5"/>
        </w:trPr>
        <w:tc>
          <w:tcPr>
            <w:tcW w:w="50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8"/>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940" w:type="dxa"/>
            <w:vAlign w:val="bottom"/>
            <w:tcBorders>
              <w:bottom w:val="single" w:sz="8" w:color="CCEEFF"/>
            </w:tcBorders>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r>
      <w:tr>
        <w:trPr>
          <w:trHeight w:val="23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3,417</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w:t>
            </w:r>
          </w:p>
        </w:tc>
      </w:tr>
      <w:tr>
        <w:trPr>
          <w:trHeight w:val="26"/>
        </w:trPr>
        <w:tc>
          <w:tcPr>
            <w:tcW w:w="50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5"/>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4,389</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8,843</w:t>
            </w:r>
          </w:p>
        </w:tc>
      </w:tr>
      <w:tr>
        <w:trPr>
          <w:trHeight w:val="23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7,962</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6,421</w:t>
            </w:r>
          </w:p>
        </w:tc>
      </w:tr>
      <w:tr>
        <w:trPr>
          <w:trHeight w:val="26"/>
        </w:trPr>
        <w:tc>
          <w:tcPr>
            <w:tcW w:w="50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65"/>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9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w:t>
            </w:r>
          </w:p>
        </w:tc>
      </w:tr>
      <w:tr>
        <w:trPr>
          <w:trHeight w:val="258"/>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top w:val="single" w:sz="8" w:color="auto"/>
              <w:bottom w:val="single" w:sz="8" w:color="auto"/>
            </w:tcBorders>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9,060</w:t>
            </w:r>
          </w:p>
        </w:tc>
        <w:tc>
          <w:tcPr>
            <w:tcW w:w="8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ind w:right="75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6,692</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23,292</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20,639</w:t>
            </w:r>
          </w:p>
        </w:tc>
      </w:tr>
      <w:tr>
        <w:trPr>
          <w:trHeight w:val="20"/>
        </w:trPr>
        <w:tc>
          <w:tcPr>
            <w:tcW w:w="50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OTHER INCOME (EXPENSE), NET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net on the condensed consolidated statements of operations is comprised of the following for the three and nine months ended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and 2023 (in thousands):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20" w:type="dxa"/>
            <w:vAlign w:val="bottom"/>
          </w:tcPr>
          <w:p>
            <w:pPr>
              <w:spacing w:after="0"/>
              <w:rPr>
                <w:sz w:val="18"/>
                <w:szCs w:val="18"/>
                <w:color w:val="auto"/>
              </w:rPr>
            </w:pPr>
          </w:p>
        </w:tc>
        <w:tc>
          <w:tcPr>
            <w:tcW w:w="2520" w:type="dxa"/>
            <w:vAlign w:val="bottom"/>
            <w:gridSpan w:val="4"/>
          </w:tcPr>
          <w:p>
            <w:pPr>
              <w:jc w:val="center"/>
              <w:ind w:left="412"/>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gridSpan w:val="4"/>
          </w:tcPr>
          <w:p>
            <w:pPr>
              <w:jc w:val="center"/>
              <w:ind w:right="252"/>
              <w:spacing w:after="0"/>
              <w:rPr>
                <w:sz w:val="20"/>
                <w:szCs w:val="20"/>
                <w:color w:val="auto"/>
              </w:rPr>
            </w:pPr>
            <w:r>
              <w:rPr>
                <w:rFonts w:ascii="Times New Roman" w:cs="Times New Roman" w:eastAsia="Times New Roman" w:hAnsi="Times New Roman"/>
                <w:sz w:val="18"/>
                <w:szCs w:val="18"/>
                <w:b w:val="1"/>
                <w:bCs w:val="1"/>
                <w:color w:val="auto"/>
                <w:w w:val="97"/>
              </w:rPr>
              <w:t>Nine Months Ended</w:t>
            </w:r>
          </w:p>
        </w:tc>
        <w:tc>
          <w:tcPr>
            <w:tcW w:w="0" w:type="dxa"/>
            <w:vAlign w:val="bottom"/>
          </w:tcPr>
          <w:p>
            <w:pPr>
              <w:spacing w:after="0"/>
              <w:rPr>
                <w:sz w:val="1"/>
                <w:szCs w:val="1"/>
                <w:color w:val="auto"/>
              </w:rPr>
            </w:pPr>
          </w:p>
        </w:tc>
      </w:tr>
      <w:tr>
        <w:trPr>
          <w:trHeight w:val="233"/>
        </w:trPr>
        <w:tc>
          <w:tcPr>
            <w:tcW w:w="50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80" w:type="dxa"/>
            <w:vAlign w:val="bottom"/>
            <w:gridSpan w:val="3"/>
          </w:tcPr>
          <w:p>
            <w:pPr>
              <w:jc w:val="center"/>
              <w:ind w:right="332"/>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center"/>
              <w:ind w:left="552"/>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50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50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5"/>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5020" w:type="dxa"/>
            <w:vAlign w:val="bottom"/>
            <w:vMerge w:val="continue"/>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5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0" w:type="dxa"/>
            <w:vAlign w:val="bottom"/>
          </w:tcPr>
          <w:p>
            <w:pPr>
              <w:spacing w:after="0"/>
              <w:rPr>
                <w:sz w:val="1"/>
                <w:szCs w:val="1"/>
                <w:color w:val="auto"/>
              </w:rPr>
            </w:pPr>
          </w:p>
        </w:tc>
      </w:tr>
      <w:tr>
        <w:trPr>
          <w:trHeight w:val="240"/>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change in fair value of ELOC program</w:t>
            </w:r>
          </w:p>
        </w:tc>
        <w:tc>
          <w:tcPr>
            <w:tcW w:w="940" w:type="dxa"/>
            <w:vAlign w:val="bottom"/>
          </w:tcPr>
          <w:p>
            <w:pPr>
              <w:spacing w:after="0"/>
              <w:rPr>
                <w:sz w:val="20"/>
                <w:szCs w:val="20"/>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0"/>
                <w:szCs w:val="20"/>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0" w:type="dxa"/>
            <w:vAlign w:val="bottom"/>
          </w:tcPr>
          <w:p>
            <w:pPr>
              <w:spacing w:after="0"/>
              <w:rPr>
                <w:sz w:val="1"/>
                <w:szCs w:val="1"/>
                <w:color w:val="auto"/>
              </w:rPr>
            </w:pPr>
          </w:p>
        </w:tc>
      </w:tr>
      <w:tr>
        <w:trPr>
          <w:trHeight w:val="25"/>
        </w:trPr>
        <w:tc>
          <w:tcPr>
            <w:tcW w:w="5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bargain purchase</w:t>
            </w: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0" w:type="dxa"/>
            <w:vAlign w:val="bottom"/>
          </w:tcPr>
          <w:p>
            <w:pPr>
              <w:spacing w:after="0"/>
              <w:rPr>
                <w:sz w:val="1"/>
                <w:szCs w:val="1"/>
                <w:color w:val="auto"/>
              </w:rPr>
            </w:pPr>
          </w:p>
        </w:tc>
      </w:tr>
      <w:tr>
        <w:trPr>
          <w:trHeight w:val="25"/>
        </w:trPr>
        <w:tc>
          <w:tcPr>
            <w:tcW w:w="50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50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940" w:type="dxa"/>
            <w:vAlign w:val="bottom"/>
            <w:tcBorders>
              <w:bottom w:val="single" w:sz="8" w:color="auto"/>
            </w:tcBorders>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9,087</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NET LOSS PER SHARE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calculation of basic and diluted net loss per share attributable to common stockholders for the three and nine months ended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and 2023:</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2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18"/>
                <w:szCs w:val="18"/>
                <w:color w:val="auto"/>
              </w:rPr>
            </w:pPr>
          </w:p>
        </w:tc>
        <w:tc>
          <w:tcPr>
            <w:tcW w:w="2720" w:type="dxa"/>
            <w:vAlign w:val="bottom"/>
            <w:gridSpan w:val="4"/>
          </w:tcPr>
          <w:p>
            <w:pPr>
              <w:jc w:val="right"/>
              <w:ind w:right="692"/>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3"/>
        </w:trPr>
        <w:tc>
          <w:tcPr>
            <w:tcW w:w="5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0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5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6"/>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502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5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(21,751)</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(92,082)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(70,934)</w:t>
            </w:r>
          </w:p>
        </w:tc>
        <w:tc>
          <w:tcPr>
            <w:tcW w:w="0" w:type="dxa"/>
            <w:vAlign w:val="bottom"/>
          </w:tcPr>
          <w:p>
            <w:pPr>
              <w:spacing w:after="0"/>
              <w:rPr>
                <w:sz w:val="1"/>
                <w:szCs w:val="1"/>
                <w:color w:val="auto"/>
              </w:rPr>
            </w:pPr>
          </w:p>
        </w:tc>
      </w:tr>
      <w:tr>
        <w:trPr>
          <w:trHeight w:val="239"/>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Cumulative dividends attributable to Series A Preferred Stock</w:t>
            </w:r>
          </w:p>
        </w:tc>
        <w:tc>
          <w:tcPr>
            <w:tcW w:w="340" w:type="dxa"/>
            <w:vAlign w:val="bottom"/>
          </w:tcPr>
          <w:p>
            <w:pPr>
              <w:spacing w:after="0"/>
              <w:rPr>
                <w:sz w:val="20"/>
                <w:szCs w:val="20"/>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0" w:type="dxa"/>
            <w:vAlign w:val="bottom"/>
          </w:tcPr>
          <w:p>
            <w:pPr>
              <w:spacing w:after="0"/>
              <w:rPr>
                <w:sz w:val="1"/>
                <w:szCs w:val="1"/>
                <w:color w:val="auto"/>
              </w:rPr>
            </w:pPr>
          </w:p>
        </w:tc>
      </w:tr>
      <w:tr>
        <w:trPr>
          <w:trHeight w:val="26"/>
        </w:trPr>
        <w:tc>
          <w:tcPr>
            <w:tcW w:w="50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02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rPr>
              <w:t>Net loss attributable to SoundHound common shareholders (in</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thousands)</w:t>
            </w: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(21,751)</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(92,498)</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(73,140)</w:t>
            </w:r>
          </w:p>
        </w:tc>
        <w:tc>
          <w:tcPr>
            <w:tcW w:w="0" w:type="dxa"/>
            <w:vAlign w:val="bottom"/>
          </w:tcPr>
          <w:p>
            <w:pPr>
              <w:spacing w:after="0"/>
              <w:rPr>
                <w:sz w:val="1"/>
                <w:szCs w:val="1"/>
                <w:color w:val="auto"/>
              </w:rPr>
            </w:pPr>
          </w:p>
        </w:tc>
      </w:tr>
      <w:tr>
        <w:trPr>
          <w:trHeight w:val="24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5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basic and dilutive</w:t>
            </w:r>
          </w:p>
        </w:tc>
        <w:tc>
          <w:tcPr>
            <w:tcW w:w="3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360,385,812</w:t>
            </w:r>
          </w:p>
        </w:tc>
        <w:tc>
          <w:tcPr>
            <w:tcW w:w="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242,022,268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326,166,633</w:t>
            </w:r>
          </w:p>
        </w:tc>
        <w:tc>
          <w:tcPr>
            <w:tcW w:w="10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222,760,880</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80" w:type="dxa"/>
            <w:vAlign w:val="bottom"/>
          </w:tcPr>
          <w:p>
            <w:pPr>
              <w:spacing w:after="0"/>
              <w:rPr>
                <w:sz w:val="20"/>
                <w:szCs w:val="20"/>
                <w:color w:val="auto"/>
              </w:rPr>
            </w:pPr>
          </w:p>
        </w:tc>
        <w:tc>
          <w:tcPr>
            <w:tcW w:w="5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For the three and nine months ended September 30, 2024 and 2023, the diluted net loss per share is equal to the basic net loss per share as the effect of potentially dilutive securities would have been antidilutive.</w:t>
      </w:r>
    </w:p>
    <w:p>
      <w:pPr>
        <w:spacing w:after="0" w:line="163"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The following table summarizes the outstanding shares of potentially dilutive securities that were excluded from the calculation of diluted earnings per share because their inclusion would have been anti-dilutive for the three and nine months ended September 30, 2024 and 2023:</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140" w:type="dxa"/>
            <w:vAlign w:val="bottom"/>
          </w:tcPr>
          <w:p>
            <w:pPr>
              <w:spacing w:after="0"/>
              <w:rPr>
                <w:sz w:val="20"/>
                <w:szCs w:val="20"/>
                <w:color w:val="auto"/>
              </w:rPr>
            </w:pPr>
          </w:p>
        </w:tc>
        <w:tc>
          <w:tcPr>
            <w:tcW w:w="3060" w:type="dxa"/>
            <w:vAlign w:val="bottom"/>
            <w:gridSpan w:val="3"/>
          </w:tcPr>
          <w:p>
            <w:pPr>
              <w:jc w:val="right"/>
              <w:ind w:right="692"/>
              <w:spacing w:after="0"/>
              <w:rPr>
                <w:sz w:val="20"/>
                <w:szCs w:val="20"/>
                <w:color w:val="auto"/>
              </w:rPr>
            </w:pPr>
            <w:r>
              <w:rPr>
                <w:rFonts w:ascii="Times New Roman" w:cs="Times New Roman" w:eastAsia="Times New Roman" w:hAnsi="Times New Roman"/>
                <w:sz w:val="18"/>
                <w:szCs w:val="18"/>
                <w:b w:val="1"/>
                <w:bCs w:val="1"/>
                <w:color w:val="auto"/>
              </w:rPr>
              <w:t>As of September 30,</w:t>
            </w:r>
          </w:p>
        </w:tc>
      </w:tr>
      <w:tr>
        <w:trPr>
          <w:trHeight w:val="25"/>
        </w:trPr>
        <w:tc>
          <w:tcPr>
            <w:tcW w:w="81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3"/>
        </w:trPr>
        <w:tc>
          <w:tcPr>
            <w:tcW w:w="8140" w:type="dxa"/>
            <w:vAlign w:val="bottom"/>
          </w:tcPr>
          <w:p>
            <w:pPr>
              <w:spacing w:after="0"/>
              <w:rPr>
                <w:sz w:val="20"/>
                <w:szCs w:val="20"/>
                <w:color w:val="auto"/>
              </w:rPr>
            </w:pPr>
          </w:p>
        </w:tc>
        <w:tc>
          <w:tcPr>
            <w:tcW w:w="148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48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
        </w:trPr>
        <w:tc>
          <w:tcPr>
            <w:tcW w:w="81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8"/>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awards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32,940,778</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36,129,323</w:t>
            </w:r>
          </w:p>
        </w:tc>
      </w:tr>
      <w:tr>
        <w:trPr>
          <w:trHeight w:val="24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A Preferred Stock</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15,897,990</w:t>
            </w:r>
          </w:p>
        </w:tc>
      </w:tr>
      <w:tr>
        <w:trPr>
          <w:trHeight w:val="25"/>
        </w:trPr>
        <w:tc>
          <w:tcPr>
            <w:tcW w:w="8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5"/>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warrants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3,665,996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6,967,532</w:t>
            </w:r>
          </w:p>
        </w:tc>
      </w:tr>
      <w:tr>
        <w:trPr>
          <w:trHeight w:val="24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restricted stock awards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508,289</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
        </w:trPr>
        <w:tc>
          <w:tcPr>
            <w:tcW w:w="81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83"/>
        </w:trPr>
        <w:tc>
          <w:tcPr>
            <w:tcW w:w="8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37,115,063</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58,994,845</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table above does not include: (i) 4,440,482 and zero shares of unvested stock-based awards and restricted stock awards, respectively, and (ii) 18,257,365 and zero shares of contingently issuable earnout shares, respectively; outstanding as of September 30, 2024 and 2023, as these awards are subject to performance conditions that were not met as of those dates. The table also excludes 167,102 and zero shares associated with the Contingent Holdback Consideration in connection with the SYNQ3 Acquisition, respectively, as these shares are subject to contingencies that were not met as of September 30, 2024 and 2023.</w:t>
      </w:r>
    </w:p>
    <w:p>
      <w:pPr>
        <w:spacing w:after="0" w:line="21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The shares issued and held in escrow for the Amelia Acquisition are participating securities that contractually entitle the holders of such shares to participate in the combined entity’s earnings but do not contractually require the holders of such shares to participate in the combined entity’s losses. The weighted average shares outstanding used to calculate basic and diluted net income per share attributable to common stockholders excludes the 2,149,530 shares of the</w:t>
      </w:r>
    </w:p>
    <w:p>
      <w:pPr>
        <w:spacing w:after="0" w:line="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Company's Class A Common Stock held in escrow as they are considered contingently returnable shares until the indemnifications subject to escrow have been resolved.</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16. INCOME TAXES</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24"/>
        </w:trPr>
        <w:tc>
          <w:tcPr>
            <w:tcW w:w="6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tax expense (benefit) and the effective tax rate were as follows (in thousands):</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56"/>
        </w:trPr>
        <w:tc>
          <w:tcPr>
            <w:tcW w:w="4700" w:type="dxa"/>
            <w:vAlign w:val="bottom"/>
          </w:tcPr>
          <w:p>
            <w:pPr>
              <w:spacing w:after="0"/>
              <w:rPr>
                <w:sz w:val="24"/>
                <w:szCs w:val="24"/>
                <w:color w:val="auto"/>
              </w:rPr>
            </w:pPr>
          </w:p>
        </w:tc>
        <w:tc>
          <w:tcPr>
            <w:tcW w:w="3300" w:type="dxa"/>
            <w:vAlign w:val="bottom"/>
            <w:gridSpan w:val="5"/>
          </w:tcPr>
          <w:p>
            <w:pPr>
              <w:ind w:left="8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Nine Months Ended</w:t>
            </w:r>
          </w:p>
        </w:tc>
      </w:tr>
      <w:tr>
        <w:trPr>
          <w:trHeight w:val="233"/>
        </w:trPr>
        <w:tc>
          <w:tcPr>
            <w:tcW w:w="4700" w:type="dxa"/>
            <w:vAlign w:val="bottom"/>
          </w:tcPr>
          <w:p>
            <w:pPr>
              <w:spacing w:after="0"/>
              <w:rPr>
                <w:sz w:val="20"/>
                <w:szCs w:val="20"/>
                <w:color w:val="auto"/>
              </w:rPr>
            </w:pPr>
          </w:p>
        </w:tc>
        <w:tc>
          <w:tcPr>
            <w:tcW w:w="2200" w:type="dxa"/>
            <w:vAlign w:val="bottom"/>
            <w:gridSpan w:val="3"/>
          </w:tcPr>
          <w:p>
            <w:pPr>
              <w:ind w:left="10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20" w:type="dxa"/>
            <w:vAlign w:val="bottom"/>
            <w:gridSpan w:val="3"/>
          </w:tcPr>
          <w:p>
            <w:pPr>
              <w:jc w:val="center"/>
              <w:ind w:left="932"/>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1020" w:type="dxa"/>
            <w:vAlign w:val="bottom"/>
          </w:tcPr>
          <w:p>
            <w:pPr>
              <w:spacing w:after="0"/>
              <w:rPr>
                <w:sz w:val="20"/>
                <w:szCs w:val="20"/>
                <w:color w:val="auto"/>
              </w:rPr>
            </w:pPr>
          </w:p>
        </w:tc>
      </w:tr>
      <w:tr>
        <w:trPr>
          <w:trHeight w:val="32"/>
        </w:trPr>
        <w:tc>
          <w:tcPr>
            <w:tcW w:w="47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6"/>
        </w:trPr>
        <w:tc>
          <w:tcPr>
            <w:tcW w:w="470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64"/>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5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(32,242)</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(18,636)</w:t>
            </w:r>
          </w:p>
        </w:tc>
        <w:tc>
          <w:tcPr>
            <w:tcW w:w="8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(101,640)</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(68,627)</w:t>
            </w:r>
          </w:p>
        </w:tc>
      </w:tr>
      <w:tr>
        <w:trPr>
          <w:trHeight w:val="24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5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(10,491)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1,561</w:t>
            </w:r>
          </w:p>
        </w:tc>
        <w:tc>
          <w:tcPr>
            <w:tcW w:w="80" w:type="dxa"/>
            <w:vAlign w:val="bottom"/>
          </w:tcPr>
          <w:p>
            <w:pPr>
              <w:spacing w:after="0"/>
              <w:rPr>
                <w:sz w:val="21"/>
                <w:szCs w:val="21"/>
                <w:color w:val="auto"/>
              </w:rPr>
            </w:pPr>
          </w:p>
        </w:tc>
        <w:tc>
          <w:tcPr>
            <w:tcW w:w="15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(9,558)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2,307</w:t>
            </w:r>
          </w:p>
        </w:tc>
      </w:tr>
      <w:tr>
        <w:trPr>
          <w:trHeight w:val="258"/>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5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99"/>
              </w:rPr>
              <w:t>32.54 %</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8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9.40 %</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r>
    </w:tbl>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recorded effective tax rate differs from the U.S. statutory rate primarily due to the tax benefit resulting from acquisitions.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FAIR VALUE MEASUREMENTS</w:t>
      </w:r>
    </w:p>
    <w:p>
      <w:pPr>
        <w:spacing w:after="0" w:line="21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following table presents the fair value of the Company's financial instruments that are measured or disclosed at fair value on a recurring basis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0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9"/>
        </w:trPr>
        <w:tc>
          <w:tcPr>
            <w:tcW w:w="6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56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31"/>
        </w:trPr>
        <w:tc>
          <w:tcPr>
            <w:tcW w:w="6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13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60" w:type="dxa"/>
            <w:vAlign w:val="bottom"/>
            <w:tcBorders>
              <w:top w:val="single" w:sz="8" w:color="auto"/>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equivalents</w:t>
            </w: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6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Treasury bills</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37,604</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1372"/>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9"/>
        </w:trPr>
        <w:tc>
          <w:tcPr>
            <w:tcW w:w="60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Money market funds</w:t>
            </w:r>
          </w:p>
        </w:tc>
        <w:tc>
          <w:tcPr>
            <w:tcW w:w="3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80,113</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1"/>
        </w:trPr>
        <w:tc>
          <w:tcPr>
            <w:tcW w:w="60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117,717</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1372"/>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0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6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6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Contingent holdback consideration</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372"/>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0" w:type="dxa"/>
            <w:vAlign w:val="bottom"/>
          </w:tcPr>
          <w:p>
            <w:pPr>
              <w:spacing w:after="0"/>
              <w:rPr>
                <w:sz w:val="1"/>
                <w:szCs w:val="1"/>
                <w:color w:val="auto"/>
              </w:rPr>
            </w:pPr>
          </w:p>
        </w:tc>
      </w:tr>
      <w:tr>
        <w:trPr>
          <w:trHeight w:val="251"/>
        </w:trPr>
        <w:tc>
          <w:tcPr>
            <w:tcW w:w="6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Contingent acquisition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60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Contingent earnout consideration</w:t>
            </w:r>
          </w:p>
        </w:tc>
        <w:tc>
          <w:tcPr>
            <w:tcW w:w="3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74,450</w:t>
            </w:r>
          </w:p>
        </w:tc>
        <w:tc>
          <w:tcPr>
            <w:tcW w:w="0" w:type="dxa"/>
            <w:vAlign w:val="bottom"/>
          </w:tcPr>
          <w:p>
            <w:pPr>
              <w:spacing w:after="0"/>
              <w:rPr>
                <w:sz w:val="1"/>
                <w:szCs w:val="1"/>
                <w:color w:val="auto"/>
              </w:rPr>
            </w:pPr>
          </w:p>
        </w:tc>
      </w:tr>
      <w:tr>
        <w:trPr>
          <w:trHeight w:val="271"/>
        </w:trPr>
        <w:tc>
          <w:tcPr>
            <w:tcW w:w="60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1372"/>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75,181</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0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
        </w:trPr>
        <w:tc>
          <w:tcPr>
            <w:tcW w:w="60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9"/>
        </w:trPr>
        <w:tc>
          <w:tcPr>
            <w:tcW w:w="60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31"/>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2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
        </w:trPr>
        <w:tc>
          <w:tcPr>
            <w:tcW w:w="60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5"/>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bills</w:t>
            </w:r>
          </w:p>
        </w:tc>
        <w:tc>
          <w:tcPr>
            <w:tcW w:w="1240" w:type="dxa"/>
            <w:vAlign w:val="bottom"/>
            <w:shd w:val="clear" w:color="auto" w:fill="CCEEFF"/>
          </w:tcPr>
          <w:p>
            <w:pPr>
              <w:jc w:val="right"/>
              <w:ind w:right="105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35,961</w:t>
            </w:r>
          </w:p>
        </w:tc>
        <w:tc>
          <w:tcPr>
            <w:tcW w:w="1540" w:type="dxa"/>
            <w:vAlign w:val="bottom"/>
            <w:gridSpan w:val="2"/>
            <w:shd w:val="clear" w:color="auto" w:fill="CCEEFF"/>
          </w:tcPr>
          <w:p>
            <w:pPr>
              <w:jc w:val="right"/>
              <w:ind w:right="125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59"/>
        </w:trPr>
        <w:tc>
          <w:tcPr>
            <w:tcW w:w="6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12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54,542</w:t>
            </w:r>
          </w:p>
        </w:tc>
        <w:tc>
          <w:tcPr>
            <w:tcW w:w="10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71"/>
        </w:trPr>
        <w:tc>
          <w:tcPr>
            <w:tcW w:w="6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240" w:type="dxa"/>
            <w:vAlign w:val="bottom"/>
            <w:shd w:val="clear" w:color="auto" w:fill="CCEEFF"/>
          </w:tcPr>
          <w:p>
            <w:pPr>
              <w:jc w:val="right"/>
              <w:ind w:right="105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90,503</w:t>
            </w:r>
          </w:p>
        </w:tc>
        <w:tc>
          <w:tcPr>
            <w:tcW w:w="1540" w:type="dxa"/>
            <w:vAlign w:val="bottom"/>
            <w:gridSpan w:val="2"/>
            <w:shd w:val="clear" w:color="auto" w:fill="CCEEFF"/>
          </w:tcPr>
          <w:p>
            <w:pPr>
              <w:jc w:val="right"/>
              <w:ind w:right="125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Acquisition Liabilities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Holdback Consideration</w:t>
      </w:r>
    </w:p>
    <w:p>
      <w:pPr>
        <w:spacing w:after="0" w:line="21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reconciliation of the Company's Contingent Holdback Consideration measured at fair value, including the effect of measurement period adjustments, on a recurring basis using unobservable inputs (Level 3) is as follows:</w:t>
      </w:r>
    </w:p>
    <w:p>
      <w:pPr>
        <w:sectPr>
          <w:pgSz w:w="11900" w:h="16838" w:orient="portrait"/>
          <w:cols w:equalWidth="0" w:num="1">
            <w:col w:w="11240"/>
          </w:cols>
          <w:pgMar w:left="320" w:top="331"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60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9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Acquisition of SYNQ3</w:t>
            </w:r>
          </w:p>
        </w:tc>
        <w:tc>
          <w:tcPr>
            <w:tcW w:w="6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r>
      <w:tr>
        <w:trPr>
          <w:trHeight w:val="26"/>
        </w:trPr>
        <w:tc>
          <w:tcPr>
            <w:tcW w:w="9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5"/>
        </w:trPr>
        <w:tc>
          <w:tcPr>
            <w:tcW w:w="96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the fair value of liability</w:t>
            </w:r>
          </w:p>
        </w:tc>
        <w:tc>
          <w:tcPr>
            <w:tcW w:w="6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w:t>
            </w:r>
          </w:p>
        </w:tc>
      </w:tr>
      <w:tr>
        <w:trPr>
          <w:trHeight w:val="233"/>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600" w:type="dxa"/>
            <w:vAlign w:val="bottom"/>
            <w:tcBorders>
              <w:top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2,551</w:t>
            </w:r>
          </w:p>
        </w:tc>
      </w:tr>
      <w:tr>
        <w:trPr>
          <w:trHeight w:val="25"/>
        </w:trPr>
        <w:tc>
          <w:tcPr>
            <w:tcW w:w="9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5"/>
        </w:trPr>
        <w:tc>
          <w:tcPr>
            <w:tcW w:w="96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Measurement period adjustments</w:t>
            </w:r>
          </w:p>
        </w:tc>
        <w:tc>
          <w:tcPr>
            <w:tcW w:w="6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r>
      <w:tr>
        <w:trPr>
          <w:trHeight w:val="240"/>
        </w:trPr>
        <w:tc>
          <w:tcPr>
            <w:tcW w:w="9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the fair value of liability</w:t>
            </w:r>
          </w:p>
        </w:tc>
        <w:tc>
          <w:tcPr>
            <w:tcW w:w="6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w:t>
            </w:r>
          </w:p>
        </w:tc>
      </w:tr>
      <w:tr>
        <w:trPr>
          <w:trHeight w:val="25"/>
        </w:trPr>
        <w:tc>
          <w:tcPr>
            <w:tcW w:w="96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8"/>
        </w:trPr>
        <w:tc>
          <w:tcPr>
            <w:tcW w:w="9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2024</w:t>
            </w:r>
          </w:p>
        </w:tc>
        <w:tc>
          <w:tcPr>
            <w:tcW w:w="600" w:type="dxa"/>
            <w:vAlign w:val="bottom"/>
            <w:tcBorders>
              <w:bottom w:val="single" w:sz="8" w:color="CCEEFF"/>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r>
      <w:tr>
        <w:trPr>
          <w:trHeight w:val="240"/>
        </w:trPr>
        <w:tc>
          <w:tcPr>
            <w:tcW w:w="9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Settlement</w:t>
            </w:r>
          </w:p>
        </w:tc>
        <w:tc>
          <w:tcPr>
            <w:tcW w:w="6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5"/>
        </w:trPr>
        <w:tc>
          <w:tcPr>
            <w:tcW w:w="9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5"/>
        </w:trPr>
        <w:tc>
          <w:tcPr>
            <w:tcW w:w="96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the fair value of liability</w:t>
            </w:r>
          </w:p>
        </w:tc>
        <w:tc>
          <w:tcPr>
            <w:tcW w:w="6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58"/>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2024</w:t>
            </w:r>
          </w:p>
        </w:tc>
        <w:tc>
          <w:tcPr>
            <w:tcW w:w="60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w:t>
            </w:r>
          </w:p>
        </w:tc>
      </w:tr>
      <w:tr>
        <w:trPr>
          <w:trHeight w:val="20"/>
        </w:trPr>
        <w:tc>
          <w:tcPr>
            <w:tcW w:w="96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fair value of the cash portion of the Contingent Holdback Consideration was estimated based upon the holdback period of fifteen months, and discounted using the risk-free interest rate based on the U.S. Treasury zero-coupon yield curve on the valuation date for a maturity similar to the fifteen-month holdback period. The fair value of the equity portion of the Contingent Holdback Consideration was estimated based upon the value of the Company’s Class A Common Stock price. The fair value of the Contingent Holdback Consideration was initially measured on January 3, 2024, the date on which the Company completed the acquisition of SYNQ3. For the three and nine months ended September 30, 2024, the Company recognized a loss of $0.2 million and $0.5 million, respectively, related to the Contingent Holdback Consideration.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fair value of the Contingent Holdback Consideration has been estimated as of the Closing Date and September 30, 2024, under the following assumptions: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7480" w:type="dxa"/>
            <w:vAlign w:val="bottom"/>
            <w:shd w:val="clear" w:color="auto" w:fill="CCEEFF"/>
          </w:tcPr>
          <w:p>
            <w:pPr>
              <w:spacing w:after="0"/>
              <w:rPr>
                <w:sz w:val="22"/>
                <w:szCs w:val="22"/>
                <w:color w:val="auto"/>
              </w:rPr>
            </w:pPr>
          </w:p>
        </w:tc>
        <w:tc>
          <w:tcPr>
            <w:tcW w:w="198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January 3, 2024</w:t>
            </w:r>
          </w:p>
        </w:tc>
        <w:tc>
          <w:tcPr>
            <w:tcW w:w="17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September 30, 2024</w:t>
            </w:r>
          </w:p>
        </w:tc>
      </w:tr>
      <w:tr>
        <w:trPr>
          <w:trHeight w:val="23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4.6 %</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5"/>
        </w:trPr>
        <w:tc>
          <w:tcPr>
            <w:tcW w:w="74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4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Holdback period</w:t>
            </w:r>
          </w:p>
        </w:tc>
        <w:tc>
          <w:tcPr>
            <w:tcW w:w="1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1.25 years</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 years</w:t>
            </w:r>
          </w:p>
        </w:tc>
      </w:tr>
      <w:tr>
        <w:trPr>
          <w:trHeight w:val="25"/>
        </w:trPr>
        <w:tc>
          <w:tcPr>
            <w:tcW w:w="748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r>
    </w:tbl>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Earnout Consideration</w:t>
      </w:r>
    </w:p>
    <w:p>
      <w:pPr>
        <w:spacing w:after="0" w:line="21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reconciliation of the Company's contingent earnout consideration measured at fair value on a recurring basis using unobservable inputs (Level 3)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60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9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Acquisition of SYNQ3</w:t>
            </w:r>
          </w:p>
        </w:tc>
        <w:tc>
          <w:tcPr>
            <w:tcW w:w="6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w:t>
            </w:r>
          </w:p>
        </w:tc>
      </w:tr>
      <w:tr>
        <w:trPr>
          <w:trHeight w:val="25"/>
        </w:trPr>
        <w:tc>
          <w:tcPr>
            <w:tcW w:w="9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5"/>
        </w:trPr>
        <w:tc>
          <w:tcPr>
            <w:tcW w:w="96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the fair value of liability</w:t>
            </w:r>
          </w:p>
        </w:tc>
        <w:tc>
          <w:tcPr>
            <w:tcW w:w="6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w:t>
            </w:r>
          </w:p>
        </w:tc>
      </w:tr>
      <w:tr>
        <w:trPr>
          <w:trHeight w:val="233"/>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600" w:type="dxa"/>
            <w:vAlign w:val="bottom"/>
            <w:tcBorders>
              <w:top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4,268</w:t>
            </w:r>
          </w:p>
        </w:tc>
      </w:tr>
      <w:tr>
        <w:trPr>
          <w:trHeight w:val="25"/>
        </w:trPr>
        <w:tc>
          <w:tcPr>
            <w:tcW w:w="9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5"/>
        </w:trPr>
        <w:tc>
          <w:tcPr>
            <w:tcW w:w="96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the fair value of liability</w:t>
            </w:r>
          </w:p>
        </w:tc>
        <w:tc>
          <w:tcPr>
            <w:tcW w:w="600" w:type="dxa"/>
            <w:vAlign w:val="bottom"/>
            <w:tcBorders>
              <w:bottom w:val="single" w:sz="8" w:color="CCEEFF"/>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33"/>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June 30, 2024</w:t>
            </w:r>
          </w:p>
        </w:tc>
        <w:tc>
          <w:tcPr>
            <w:tcW w:w="600" w:type="dxa"/>
            <w:vAlign w:val="bottom"/>
            <w:tcBorders>
              <w:top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4,410</w:t>
            </w:r>
          </w:p>
        </w:tc>
      </w:tr>
      <w:tr>
        <w:trPr>
          <w:trHeight w:val="25"/>
        </w:trPr>
        <w:tc>
          <w:tcPr>
            <w:tcW w:w="9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5"/>
        </w:trPr>
        <w:tc>
          <w:tcPr>
            <w:tcW w:w="96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Acquisition of Amelia</w:t>
            </w:r>
          </w:p>
        </w:tc>
        <w:tc>
          <w:tcPr>
            <w:tcW w:w="600" w:type="dxa"/>
            <w:vAlign w:val="bottom"/>
            <w:tcBorders>
              <w:bottom w:val="single" w:sz="8" w:color="CCEEFF"/>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71,560</w:t>
            </w:r>
          </w:p>
        </w:tc>
      </w:tr>
      <w:tr>
        <w:trPr>
          <w:trHeight w:val="240"/>
        </w:trPr>
        <w:tc>
          <w:tcPr>
            <w:tcW w:w="9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the fair value of liability</w:t>
            </w:r>
          </w:p>
        </w:tc>
        <w:tc>
          <w:tcPr>
            <w:tcW w:w="6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w:t>
            </w:r>
          </w:p>
        </w:tc>
      </w:tr>
      <w:tr>
        <w:trPr>
          <w:trHeight w:val="25"/>
        </w:trPr>
        <w:tc>
          <w:tcPr>
            <w:tcW w:w="96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3"/>
        </w:trPr>
        <w:tc>
          <w:tcPr>
            <w:tcW w:w="9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2024</w:t>
            </w:r>
          </w:p>
        </w:tc>
        <w:tc>
          <w:tcPr>
            <w:tcW w:w="600" w:type="dxa"/>
            <w:vAlign w:val="bottom"/>
            <w:tcBorders>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74,450</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For the three and nine months ended September 30, 2024, the Company recognized a gain of $1.5 million and a loss of $1.2 million, respectively, related to the contingent earnout consideration, reflected in the change in fair value of contingent acquisition liabilities in the condensed consolidated statement of operations and comprehensive loss.</w:t>
      </w:r>
    </w:p>
    <w:p>
      <w:pPr>
        <w:spacing w:after="0" w:line="17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 utilizes a Monte Carlo simulation to value the contingent earnout consideration. The Company selected this model as it believes it is reflective of all significant assumptions that market participants would likely consider in</w:t>
      </w:r>
    </w:p>
    <w:p>
      <w:pPr>
        <w:sectPr>
          <w:pgSz w:w="11900" w:h="16838" w:orient="portrait"/>
          <w:cols w:equalWidth="0" w:num="1">
            <w:col w:w="11240"/>
          </w:cols>
          <w:pgMar w:left="320" w:top="331"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negotiating the transfer of the contingent earnout consideration. Such assumptions include, among other inputs, expected stock price volatility, risk-free rates, and change in control assumptions. The Company estimates the expected volatility of its common stock based on historical volatility of a peer group, considering the remaining term of the contingent earnout consideration. The risk-free interest rate is based on the U.S. Treasury zero-coupon yield curve on the valuation date for a maturity similar to the expected remaining life of the contingent earnout consideration. The expected life of the contingent earnout consideration is assumed to be equivalent to their remaining contractual term. The dividend rate is based on the historical rate, which the Company anticipates to remain at zero.</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Contingent SYNQ3 Earnout Consideration acquired from SYNQ3 Acquisition has been estimated as of the Closing Date and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with the following assumptions for the unobservable inputs: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7520" w:type="dxa"/>
            <w:vAlign w:val="bottom"/>
            <w:shd w:val="clear" w:color="auto" w:fill="CCEEFF"/>
          </w:tcPr>
          <w:p>
            <w:pPr>
              <w:spacing w:after="0"/>
              <w:rPr>
                <w:sz w:val="22"/>
                <w:szCs w:val="22"/>
                <w:color w:val="auto"/>
              </w:rPr>
            </w:pPr>
          </w:p>
        </w:tc>
        <w:tc>
          <w:tcPr>
            <w:tcW w:w="190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January 3, 2024</w:t>
            </w:r>
          </w:p>
        </w:tc>
        <w:tc>
          <w:tcPr>
            <w:tcW w:w="18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September 30, 2024</w:t>
            </w:r>
          </w:p>
        </w:tc>
      </w:tr>
      <w:tr>
        <w:trPr>
          <w:trHeight w:val="23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12.6 %</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5"/>
        </w:trPr>
        <w:tc>
          <w:tcPr>
            <w:tcW w:w="75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45"/>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115.3 %</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130.0 %</w:t>
            </w:r>
          </w:p>
        </w:tc>
      </w:tr>
      <w:tr>
        <w:trPr>
          <w:trHeight w:val="24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4.2 %</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5"/>
        </w:trPr>
        <w:tc>
          <w:tcPr>
            <w:tcW w:w="75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45"/>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0.0 %</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3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w:t>
            </w:r>
          </w:p>
        </w:tc>
        <w:tc>
          <w:tcPr>
            <w:tcW w:w="1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0.5 - 2.5 years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0.13 - 1.75 years</w:t>
            </w: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Contingent Amelia Earnout Consideration acquired from Amelia Acquisition has been estimated as of the Closing Date and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with the following assumptions for the unobservable inputs: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7520" w:type="dxa"/>
            <w:vAlign w:val="bottom"/>
            <w:shd w:val="clear" w:color="auto" w:fill="CCEEFF"/>
          </w:tcPr>
          <w:p>
            <w:pPr>
              <w:spacing w:after="0"/>
              <w:rPr>
                <w:sz w:val="22"/>
                <w:szCs w:val="22"/>
                <w:color w:val="auto"/>
              </w:rPr>
            </w:pPr>
          </w:p>
        </w:tc>
        <w:tc>
          <w:tcPr>
            <w:tcW w:w="190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August 6, 2024</w:t>
            </w:r>
          </w:p>
        </w:tc>
        <w:tc>
          <w:tcPr>
            <w:tcW w:w="18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September 30, 2024</w:t>
            </w:r>
          </w:p>
        </w:tc>
      </w:tr>
      <w:tr>
        <w:trPr>
          <w:trHeight w:val="23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Metric specific discount rate</w:t>
            </w:r>
          </w:p>
        </w:tc>
        <w:tc>
          <w:tcPr>
            <w:tcW w:w="1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8.0 %</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r>
      <w:tr>
        <w:trPr>
          <w:trHeight w:val="25"/>
        </w:trPr>
        <w:tc>
          <w:tcPr>
            <w:tcW w:w="75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45"/>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Earnout payment discount rate</w:t>
            </w:r>
          </w:p>
        </w:tc>
        <w:tc>
          <w:tcPr>
            <w:tcW w:w="1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3.8 %</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4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73.0 %</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70.0 %</w:t>
            </w:r>
          </w:p>
        </w:tc>
      </w:tr>
      <w:tr>
        <w:trPr>
          <w:trHeight w:val="25"/>
        </w:trPr>
        <w:tc>
          <w:tcPr>
            <w:tcW w:w="75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45"/>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metric volatility</w:t>
            </w:r>
          </w:p>
        </w:tc>
        <w:tc>
          <w:tcPr>
            <w:tcW w:w="1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11.0 %</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11.0 %</w:t>
            </w:r>
          </w:p>
        </w:tc>
      </w:tr>
      <w:tr>
        <w:trPr>
          <w:trHeight w:val="24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 for target revenue</w:t>
            </w:r>
          </w:p>
        </w:tc>
        <w:tc>
          <w:tcPr>
            <w:tcW w:w="1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4.0 %</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5"/>
        </w:trPr>
        <w:tc>
          <w:tcPr>
            <w:tcW w:w="75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45"/>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 for stock price</w:t>
            </w:r>
          </w:p>
        </w:tc>
        <w:tc>
          <w:tcPr>
            <w:tcW w:w="1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3.8 %</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4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0.0 %</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5"/>
        </w:trPr>
        <w:tc>
          <w:tcPr>
            <w:tcW w:w="75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4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w:t>
            </w:r>
          </w:p>
        </w:tc>
        <w:tc>
          <w:tcPr>
            <w:tcW w:w="19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1.4 - 2.4 years</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1.25 - 2.25 years</w:t>
            </w:r>
          </w:p>
        </w:tc>
      </w:tr>
      <w:tr>
        <w:trPr>
          <w:trHeight w:val="25"/>
        </w:trPr>
        <w:tc>
          <w:tcPr>
            <w:tcW w:w="752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r>
    </w:tbl>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were no transfers of financial instruments between Level 1, Level 2 and Level 3 during the three and nine months ended September 30, 2024 and 2023.</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SUBSEQUENT EVENTS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Execute Equity Distribution Agreement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November 12, 2024, the Company entered into an Execute Equity Distribution Agreement with Barclays Capital Inc., Piper Sandler &amp; Co., D.A. Davidson</w:t>
      </w:r>
    </w:p>
    <w:p>
      <w:pPr>
        <w:spacing w:after="0" w:line="36" w:lineRule="exact"/>
        <w:rPr>
          <w:sz w:val="20"/>
          <w:szCs w:val="20"/>
          <w:color w:val="auto"/>
        </w:rPr>
      </w:pPr>
    </w:p>
    <w:p>
      <w:pPr>
        <w:jc w:val="both"/>
        <w:ind w:firstLine="6"/>
        <w:spacing w:after="0" w:line="265" w:lineRule="auto"/>
        <w:tabs>
          <w:tab w:leader="none" w:pos="19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 H.C. Wainwright &amp; Co., LLC, and Joseph Gunnar &amp; Co., LLC, (each, an “Agent,” and, collectively, the “Agents”) with respect to an at-the-market equity program under which the Company may offer and sell aggregate gross sale proceeds up to $120.0 million of shares of its Class A Common Stock from time to time through the Agents. Sales of Class A Common Stock, if any, under the Execute Equity Distribution Agreement will be made at market prices by any method that is deemed to be an “at the market offering” as defined in Rule 415 under the Securities Act. The Agents will be entitled to commission at a fixed rate of 2.5% of the gross sales price per share for their services in acting as agent in the sale of the Company's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04" w:lineRule="exact"/>
        <w:rPr>
          <w:sz w:val="20"/>
          <w:szCs w:val="20"/>
          <w:color w:val="auto"/>
        </w:rPr>
      </w:pPr>
    </w:p>
    <w:p>
      <w:pPr>
        <w:jc w:val="both"/>
        <w:ind w:firstLine="318"/>
        <w:spacing w:after="0" w:line="201" w:lineRule="exact"/>
        <w:rPr>
          <w:sz w:val="20"/>
          <w:szCs w:val="20"/>
          <w:color w:val="auto"/>
        </w:rPr>
      </w:pPr>
      <w:r>
        <w:rPr>
          <w:rFonts w:ascii="Times New Roman" w:cs="Times New Roman" w:eastAsia="Times New Roman" w:hAnsi="Times New Roman"/>
          <w:sz w:val="18"/>
          <w:szCs w:val="18"/>
          <w:i w:val="1"/>
          <w:iCs w:val="1"/>
          <w:color w:val="auto"/>
        </w:rPr>
        <w:t>The following discussion and analysis of the financial condition and results of operations of SoundHound should be read together with our unaudited interim condensed consolidated financial statements and the related notes thereto included elsewhere in this Quarterly Report on Form 10-Q ("Form 10-Q") and the audited consolidated financial statements and notes thereto and Management’s Discussion and Analysis of Financial Condition and Results of Operation as of and for the year ended December 31, 2023 included in our Annual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K for 2023 filed with the SEC on March 1, 2024 ("Form 10-K" or the "Annual Report). Some of the information contained in this discussion and analysis or set forth elsewhere in this report, including information with respect to SoundHound’s plans and strategy for its business and related financing, includes forward-looking statements that involve risks and uncertainties. As a result of many factors, including those factors set forth in the “Risk Factors” and “Cautionary Statement Regarding Forward Looking Statements” section of this report, our actual results could differ materially from the results described in or implied by the forward-looking statements contained in the following discussion and analysis. Unless otherwise indicated or the context otherwise requires, references in this section to “SoundHound,” “we,” “us,” “our” and other similar terms refer to SoundHound AI, Inc.</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19"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We are a global leader in conversational intelligence, offering independent Voice AI solutions that enable businesses to deliver high-quality conversational experiences to their customers. Built on proprietary technology, SoundHound’s voice AI delivers best-in-class speed and accuracy in numerous languages to product creators across automotive, TV, and IoT, and to customer service industries via groundbreaking AI-driven products like Smart Answering, Smart Ordering, and Dynamic Interaction™, a real-time, multimodal customer service interface. Along with SoundHound Chat AI, a powerful voice assistant with integrated Generative AI, SoundHound powers millions of products and services, and processes billions of interactions each year for world class businesses.</w:t>
      </w:r>
    </w:p>
    <w:p>
      <w:pPr>
        <w:spacing w:after="0" w:line="16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believe voice-enabled conversational user interface is a more natural interface for nearly all use cases, and product creators should have the ability to design, customize, differentiate, innovate and monetize the interface to their own product, as opposed to outsourcing it to a third-party assistant. For example, using SoundHound, businesses can voice-enable their products so consumers can say things like, “Turn off the air conditioning and lower the windows,” while in their cars, “Find romantic comedies released in the last year,” while streaming on their TV and even place food orders before arriving at a restaurant by talking to their cars, TVs or other IoT devices. Additionally, SoundHound’s technology can address complex user queries such as, “Show me all restaurants within half a mile of the Space Needle that are open past 9pm on Wednesdays and have outdoor seating,” and follow-on qualifications such as “Okay, don’t show me anything with less than 3 stars or fast food.”</w:t>
      </w:r>
    </w:p>
    <w:p>
      <w:pPr>
        <w:spacing w:after="0" w:line="18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SoundHound developer platform, Houndify, is an open-access platform that allows developers to leverage SoundHound’s Voice AI technology and a library of over 100 content domains, including commonly used domains for points of interest, weather, flight status, sports and more. SoundHound's Collective AI is an architecture for connecting domain knowledge that encourages collaboration and contribution among developers. The architecture is based on proprietary software engineering technology, CaiLAN (Conversational AI Language), and machine learning technology, CaiNET (Conversational AI Network) to ensure fast, accurate and appropriate responses.</w:t>
      </w:r>
    </w:p>
    <w:p>
      <w:pPr>
        <w:spacing w:after="0" w:line="18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market position is strengthened by the technical barriers to entry in the Voice AI space, which tend to discourage new market participants. Furthermore, our technology is backed by significant investments in intellectual property, with over 155 patents granted and over 115 patents pending, spanning multiple fields including speech recognition, natural language understanding, machine learning, monetization and more. We have achieved this critical momentum in part thanks to a long-tenured leadership team with deep expertise and proven ability to attract and retain talent. We believe that SoundHound has extensive technical expertise and a proven track record of innovation and value creation for us to continue to attract customers in the growing market for Voice AI transactions.</w:t>
      </w:r>
    </w:p>
    <w:p>
      <w:pPr>
        <w:spacing w:after="0" w:line="18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believe that SoundHound is well-positioned to fill the growing void and demand for an independent Voice AI platform. The Voice AI offerings from big tech companies are primarily an extension of their more core services and offerings. Rather than strengthening a customer’s product, it can take over the entire experience, thus disintermediating our brand, users and data. As a result, brands relying on big tech may lose their ability to innovate, differentiate and customize. In some cases, these providers even compete with the products they support, making them increasingly less attractive as a choice for a voice interface.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alternative options are generally legacy vendors tending to use what we consider to be dated technologies at a high price. Furthermore, many of these technologies still require significant effort by the product creators to turn them into solutions that can compete with the quality of the big tech offering, which in many cases is not practical. Due to the high barrier to entry in Voice AI, there are not many independent players.</w:t>
      </w:r>
    </w:p>
    <w:p>
      <w:pPr>
        <w:spacing w:after="0" w:line="17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This creates a great opportunity for SoundHound: we believe that we provide disruptive technologies that are superior to the alternatives, with better terms, allowing customers to maintain their brand, control the user experience, get access to the data and define their own privacy policies, while being able to customize, differentiate, innovate and monetize.</w:t>
      </w:r>
    </w:p>
    <w:p>
      <w:pPr>
        <w:spacing w:after="0" w:line="17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When it comes to criteria for adoption, our goal is to win on every dimension. We believe that the first two criteria customers typically consider are technology and brand control. We strive to provide our customers with the best technology, and we provide a white label solution giving our customers control of their brands. In some industries you may have to choose between technology and brand control. In our case, we offer our customers the best of both, enabling them to offer disruptive technologies to their users while maintaining control of their brand and user experience.</w:t>
      </w:r>
    </w:p>
    <w:p>
      <w:pPr>
        <w:spacing w:after="0" w:line="18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also expect to provide an additional path to monetization for our customer base. By choosing our platform, product creators can generate additional revenue while making their product better by using Voice AI, providing further incentive to choose our platform.</w:t>
      </w:r>
    </w:p>
    <w:p>
      <w:pPr>
        <w:spacing w:after="0" w:line="16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believe that we offer a superior ecosystem, benefiting from our Collective AI product architecture along with offering customers definable privacy controls, which are becoming increasingly important in the industry of Voice AI. Additionally, there is no conflict of interest between us and our partners and customers as we do not compete with them (as some other Voice AI vendors do). We also offer edge and hybrid solutions. This means our technology can optionally run without a cloud connection for increased flexibility and privacy. We aim to deliver the most advanced Voice AI in the world and thus allowing our partners to differentiate and innovate their overall experiences for their brands.</w:t>
      </w:r>
    </w:p>
    <w:p>
      <w:pPr>
        <w:spacing w:after="0" w:line="18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strongly believe that product creators know their product and users best. The idea of a single third-party assistant taking over their product is not reflective of our anticipated future. We envision that every product will have its own identity, and will have Voice AI customized in different ways. Product creators can each tap into a single Collective AI to access the ever-growing set of domains, but the product creators can innovate on top of Collective AI and create value for the end users in their own way. This is the future that we are focusing on enabling.</w:t>
      </w:r>
    </w:p>
    <w:p>
      <w:pPr>
        <w:spacing w:after="0" w:line="180"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When a product is voice enabled, we see three stages of integration and value propositions. The first stage is to enable the core use case of the product. For example, the product could be a TV, a coffee machine, a car, a wearable device, a robot, a smart speaker, an appliance or other devices, and with your voice you can control the functionality of the device and the product. With a TV, you can ask it to change the channel, increase the volume, rewind by 30 seconds, search for movies and even add personalization by adding a TV show to your favorites. Note that this is different from adding a third-party voice assistant to the product. Our view is that every product needs to have an interface, and voice-AI is a natural and compelling interface that unlocks new use cases and potential. Consider just the simple example of rewinding or fast forwarding by a specific duration. That is a command that can be done with voice in only few seconds, but it can take many steps to use alternative interfaces such as a remote control or a companion app.</w:t>
      </w:r>
    </w:p>
    <w:p>
      <w:pPr>
        <w:spacing w:after="0" w:line="18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Once the core features of a product are voice-enabled, it can be further enhanced in the second stage of integration: the addition of third-party content and domains. SoundHound has extensive partnerships with content providers and, through these partnerships, can fulfill many needs of our customers. For example, your TV, car or even a coffee machine can answer questions about weather, sports scores, stock prices or flight status, and even search for a local business. The addition of these public domains further enhances the value proposition of the product.</w:t>
      </w:r>
    </w:p>
    <w:p>
      <w:pPr>
        <w:spacing w:after="0" w:line="18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Finally, as the third step, you enter the world of monetization where you can add features that deliver value to the end user, and also generate revenues that we share with the product creators. To summarize with an example, imagine walking up to your coffee machine and asking for a triple shot extra hot latte. While you are waiting for your drink, you can ask for weather and sports scores, and if you desire, you can even order bagels from your favorite nearby bakery.</w:t>
      </w:r>
    </w:p>
    <w:p>
      <w:pPr>
        <w:spacing w:after="0" w:line="18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There are three pillars to our revenue model. The first pillar is Product Royalties, where we voice enable a product and the product creator pays us a royalty based on volume, usage or duration. SoundHound collects royalty revenue when our technology is placed in a car, smart speaker or an appliance, for example.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second pillar is Service Subscription. This is when, for example, SoundHound enables customer service or food ordering for restaurants or content management, appointments and voice commerce. And, for that, we generate subscription revenue from the service providers. Pillars one and two can grow independently and they are proven, established business models.</w:t>
      </w:r>
    </w:p>
    <w:p>
      <w:pPr>
        <w:spacing w:after="0" w:line="178"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The third pillar seeks to create a monetization ecosystem that brings the services from pillar two to the products in pillar one. When the users of a voice-enabled product in pillar one access the voice-enabled services of pillar two, these services generate new leads and transactions. SoundHound will generate monetization revenue from the services for generating these leads and transactions, and we will share the revenue with the product creators of pillar one.</w:t>
      </w:r>
    </w:p>
    <w:p>
      <w:pPr>
        <w:spacing w:after="0" w:line="159" w:lineRule="exact"/>
        <w:rPr>
          <w:sz w:val="20"/>
          <w:szCs w:val="20"/>
          <w:color w:val="auto"/>
        </w:rPr>
      </w:pPr>
    </w:p>
    <w:p>
      <w:pPr>
        <w:jc w:val="both"/>
        <w:ind w:firstLine="397"/>
        <w:spacing w:after="0" w:line="252" w:lineRule="auto"/>
        <w:rPr>
          <w:sz w:val="20"/>
          <w:szCs w:val="20"/>
          <w:color w:val="auto"/>
        </w:rPr>
      </w:pPr>
      <w:r>
        <w:rPr>
          <w:rFonts w:ascii="Times New Roman" w:cs="Times New Roman" w:eastAsia="Times New Roman" w:hAnsi="Times New Roman"/>
          <w:sz w:val="18"/>
          <w:szCs w:val="18"/>
          <w:color w:val="auto"/>
        </w:rPr>
        <w:t>For example, when the driver of a voice-enabled car places an order to a restaurant that is also voice enabled, we will have unlocked a seamless transaction. Accordingly, the restaurant will pay us for that order, and we will share that revenue with the product creator or the car manufacturer. In this example, each party receives value in the ecosystem. The restaurant is happy because they generated a new lead and booked a sale. The user is happy because they have received value through a natural ordering process, simply by speaking to their car. And the car manufacturer is happy because they delivered value to the end user and generated additional revenue from the usage of their product.</w:t>
      </w:r>
    </w:p>
    <w:p>
      <w:pPr>
        <w:spacing w:after="0" w:line="185" w:lineRule="exact"/>
        <w:rPr>
          <w:sz w:val="20"/>
          <w:szCs w:val="20"/>
          <w:color w:val="auto"/>
        </w:rPr>
      </w:pPr>
    </w:p>
    <w:p>
      <w:pPr>
        <w:jc w:val="both"/>
        <w:ind w:firstLine="397"/>
        <w:spacing w:after="0" w:line="252" w:lineRule="auto"/>
        <w:rPr>
          <w:sz w:val="20"/>
          <w:szCs w:val="20"/>
          <w:color w:val="auto"/>
        </w:rPr>
      </w:pPr>
      <w:r>
        <w:rPr>
          <w:rFonts w:ascii="Times New Roman" w:cs="Times New Roman" w:eastAsia="Times New Roman" w:hAnsi="Times New Roman"/>
          <w:sz w:val="18"/>
          <w:szCs w:val="18"/>
          <w:color w:val="auto"/>
        </w:rPr>
        <w:t>During the periods presented in the condensed consolidated financial statements, we have not generated revenue from leads and transactions on voice-enabled products from voice-enabled services other than from the SoundHound music identification app. Going forward, SoundHound expects monetization revenue to be generated through a combination of advertising revenue from the music identification app and, over time, from leads and transactions on voice-enabled products from voice-enabled services, which we expect will provide much more seamless opportunities for consumers to access goods and services that they covet as we further build out and scale the voice-enabled ecosystem.</w:t>
      </w:r>
    </w:p>
    <w:p>
      <w:pPr>
        <w:spacing w:after="0" w:line="18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expect this disruptive, three-pillar business model will create a monetization flywheel; as more products integrate into our platform, more users will use it and more services will choose to integrate as well. This creates even more usage, and results in a flow of revenue share to product creators, which further encourages even greater adoption and integration with our platform and the cycle will perpetually continue and expand. This ecosystem increases adoption and increases our addressable market. While all three pillars contribute to our revenues today, the majority of the contribution is currently from our first pillar with only a small contribution from pillar three from our music identification app. Over time, the subscription and monetization portions are expected to grow and make a bigger contribution to our overall revenue.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Amelia Acquisition</w:t>
      </w:r>
    </w:p>
    <w:p>
      <w:pPr>
        <w:spacing w:after="0" w:line="221"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On August 6, 2024, we completed its acquisition of Amelia, a privately-held conversational AI software company involved in the development and delivery of AI and automation solutions and related services to improve customer experience and optimize business outcomes. We expect Amelia will bring together decades of experience in conversational AI, and highly complementary product portfolios, to offer best-in-class, scalable customer service support to a vast spectrum of businesses. These include some of the very largest multinational enterprise brands, top 15 global banks, and Fortune 500 organizations, with the combined company spanning nearly 200 marquee customers. We believe the acquisition of Amelia is expected to strengthen SoundHound’s position in voice and conversational AI and allow the Company to enter new industries such as healthcare, insurance, financial services, and retail, expanding its market reach.</w:t>
      </w:r>
    </w:p>
    <w:p>
      <w:pPr>
        <w:spacing w:after="0" w:line="18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have incurred certain significant costs relating to the SYNQ3 and Amelia Acquisitions, such as legal, accounting, financial advisory, printing and other professional services fees, as well as other customary payments. Refer to "Item 1A. Risk Factors" in our Form 10-K for a discussion regarding the risks associated with the acquisitions.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Known Trends, Demands, Commitments, Events or Uncertainties Impacting Our Business</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believe that our performance and future success depend on many factors that present significant opportunities for us but also pose risks and challenges, including the following:</w:t>
      </w:r>
    </w:p>
    <w:p>
      <w:pPr>
        <w:spacing w:after="0" w:line="159" w:lineRule="exact"/>
        <w:rPr>
          <w:sz w:val="20"/>
          <w:szCs w:val="20"/>
          <w:color w:val="auto"/>
        </w:rPr>
      </w:pPr>
    </w:p>
    <w:p>
      <w:pPr>
        <w:jc w:val="both"/>
        <w:ind w:left="640" w:hanging="316"/>
        <w:spacing w:after="0" w:line="256"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Investments in Technology. </w:t>
      </w:r>
      <w:r>
        <w:rPr>
          <w:rFonts w:ascii="Times New Roman" w:cs="Times New Roman" w:eastAsia="Times New Roman" w:hAnsi="Times New Roman"/>
          <w:sz w:val="18"/>
          <w:szCs w:val="18"/>
          <w:color w:val="auto"/>
        </w:rPr>
        <w:t>Our business model since inception has been to invest in our technology in the form of dedicated research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 We will continue to invest in the development of our software platform to deliver consumers with continually improving value and delight. Our investments include continuous enhancements to our technology we've developed over the last two decades or acquired from acquisitions,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investments in data to help refine and improve our underlying algorithms and other costs to attract and retain a world-class technical workforce.</w:t>
      </w:r>
    </w:p>
    <w:p>
      <w:pPr>
        <w:spacing w:after="0" w:line="213" w:lineRule="exact"/>
        <w:rPr>
          <w:sz w:val="20"/>
          <w:szCs w:val="20"/>
          <w:color w:val="auto"/>
        </w:rPr>
      </w:pPr>
    </w:p>
    <w:p>
      <w:pPr>
        <w:jc w:val="both"/>
        <w:ind w:left="640" w:hanging="316"/>
        <w:spacing w:after="0" w:line="265" w:lineRule="auto"/>
        <w:tabs>
          <w:tab w:leader="none" w:pos="63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Revenue Growth. </w:t>
      </w:r>
      <w:r>
        <w:rPr>
          <w:rFonts w:ascii="Times New Roman" w:cs="Times New Roman" w:eastAsia="Times New Roman" w:hAnsi="Times New Roman"/>
          <w:sz w:val="17"/>
          <w:szCs w:val="17"/>
          <w:color w:val="auto"/>
        </w:rPr>
        <w:t>Our commercial success, including acceptance and use of our applications, will depend on a number of factors, some of which are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beyond our control, such as size of the market opportunity, successful integration with original equipment manufacturers (“OEM”), competition and demand from the public and members of the conversational AI community. Our product offerings, including those offerings that we have acquired, have disruptive effects in the ways human interact with computers and we are developing new, innovative economic models and acquiring companies such as SYNQ3 and Amelia which have synergistic businesses to ours that we believe will enhance value to customers, partners and shareholders. For our revenue growth to continue, we will need to invest in sales and marketing to ensure our messaging, capabilities and offerings are well understood and valued by customers. With our primary focus on enterprise customers, we also need to align with enterprise sales cycles, which can be longer than consumer cycles. As we build new customer relationships, we continually focus on maintaining and growing our existing relationships through long-term partnerships through significant upfront investment in customer specific engineering projects. Additionally, in addition to our acquisitions of SYNQ3 and Amelia, we may look to acquire other companies in the industry to develop synergies with our existing business.</w:t>
      </w:r>
    </w:p>
    <w:p>
      <w:pPr>
        <w:spacing w:after="0" w:line="173" w:lineRule="exact"/>
        <w:rPr>
          <w:rFonts w:ascii="Times New Roman" w:cs="Times New Roman" w:eastAsia="Times New Roman" w:hAnsi="Times New Roman"/>
          <w:sz w:val="17"/>
          <w:szCs w:val="17"/>
          <w:color w:val="auto"/>
        </w:rPr>
      </w:pPr>
    </w:p>
    <w:p>
      <w:pPr>
        <w:jc w:val="both"/>
        <w:ind w:left="640" w:hanging="316"/>
        <w:spacing w:after="0" w:line="254"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Cost of Revenues. </w:t>
      </w:r>
      <w:r>
        <w:rPr>
          <w:rFonts w:ascii="Times New Roman" w:cs="Times New Roman" w:eastAsia="Times New Roman" w:hAnsi="Times New Roman"/>
          <w:sz w:val="18"/>
          <w:szCs w:val="18"/>
          <w:color w:val="auto"/>
        </w:rPr>
        <w:t>The results of our business will depend in part on our ability to establish and increase our gross margins by scaling our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model and effectively managing our costs to produce our applications. Our revenue will be directly supported by data center investments in technology, both on premise and in the cloud. The associated workloads, along with supporting labor costs, will need to be managed effectively as we scale to improve our margins over time. Our Houndify platform is also powered by a library of over 100 content domains, including commonly used domains for points of interest, weather, flight status, sports and more.</w:t>
      </w:r>
    </w:p>
    <w:p>
      <w:pPr>
        <w:spacing w:after="0" w:line="176" w:lineRule="exact"/>
        <w:rPr>
          <w:rFonts w:ascii="Times New Roman" w:cs="Times New Roman" w:eastAsia="Times New Roman" w:hAnsi="Times New Roman"/>
          <w:sz w:val="18"/>
          <w:szCs w:val="18"/>
          <w:color w:val="auto"/>
        </w:rPr>
      </w:pPr>
    </w:p>
    <w:p>
      <w:pPr>
        <w:jc w:val="both"/>
        <w:ind w:left="640" w:hanging="316"/>
        <w:spacing w:after="0" w:line="256"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Seasonality. </w:t>
      </w:r>
      <w:r>
        <w:rPr>
          <w:rFonts w:ascii="Times New Roman" w:cs="Times New Roman" w:eastAsia="Times New Roman" w:hAnsi="Times New Roman"/>
          <w:sz w:val="18"/>
          <w:szCs w:val="18"/>
          <w:color w:val="auto"/>
        </w:rPr>
        <w:t>Our ability to accurately forecast demand for our technology could be negatively affected by many factors, including seasonal demand.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anticipate that we will experience fluctuations in customer and user demand based on seasonality. For example, in the past, we have seen approximately one third of our revenue in the first half of the year with the remaining two thirds in the second half. Additionally, given that we address markets across several different industry verticals, the associated overall seasonality impact to us may not be consistent year-to-year.</w:t>
      </w:r>
    </w:p>
    <w:p>
      <w:pPr>
        <w:spacing w:after="0" w:line="176" w:lineRule="exact"/>
        <w:rPr>
          <w:rFonts w:ascii="Times New Roman" w:cs="Times New Roman" w:eastAsia="Times New Roman" w:hAnsi="Times New Roman"/>
          <w:sz w:val="18"/>
          <w:szCs w:val="18"/>
          <w:color w:val="auto"/>
        </w:rPr>
      </w:pPr>
    </w:p>
    <w:p>
      <w:pPr>
        <w:jc w:val="both"/>
        <w:ind w:left="640" w:hanging="316"/>
        <w:spacing w:after="0" w:line="262"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Development of International Markets. </w:t>
      </w:r>
      <w:r>
        <w:rPr>
          <w:rFonts w:ascii="Times New Roman" w:cs="Times New Roman" w:eastAsia="Times New Roman" w:hAnsi="Times New Roman"/>
          <w:sz w:val="18"/>
          <w:szCs w:val="18"/>
          <w:color w:val="auto"/>
        </w:rPr>
        <w:t>We have rapidly expanded our capabilities and global reach. For example, we have globalized our solution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include 25 languages. We view opportunities for conversational Voice AI to be global in reach, and we expect our growth to be fueled across multiple geographies.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SoundHound generates revenues through: (1) “Product Royalties,” meaning royalties from voice-enabled products which are driven by volume, usage or life of applicable products and are affected by number of devices, users and units of usage, (2) “Service Subscriptions,” meaning subscription revenues, derived from monthly fees based on usage-based revenue, revenue per query or revenue per user, and (3) “Monetization,” meaning revenues generated from focused ad targeting to users of products and services that employ our technologies. Currently, our monetization revenue is derived only from our music identification application primarily in the form of ad impression revenue — revenue generated when an ad is shown in our music identification app — and, to a lesser extent, affiliate revenue for referrals to music stores for content sales and downloads of our premium music application.</w:t>
      </w:r>
    </w:p>
    <w:p>
      <w:pPr>
        <w:spacing w:after="0" w:line="18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“Houndified Products,” meaning products of our customers that employ SoundHound technology, and “Houndified Services,” meaning services provided to customers related to SoundHound technology, provide our customers with access to our Houndify platform over a contractual period without taking possession of the software. This generally includes revenues derived from up-front services (“professional services”) that develop and customize the Houndify platform to fit customers’ specific needs. These professional services are included in both our Product Royalties and Service Subscriptions revenues. Non-distinct professional services are recognized over the contractual life of the contract, whereas revenues from distinct professional services are recognized as the services are performed or when the services are complete depending on the arrangement.</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have and may continue to experience volatility for our remaining performance obligations and deferred revenue as a result of the timing for completing our performance obligations. We had remaining performance obligations in the amount of $66.9 million as of September 30, 2024. Given the applicable contract terms, $40.9 million is expected to be recognized as revenue within one year, $24.1 million is expected to be recognized between 2 to 5 years and the remainder of $2.0 million is expected to be recognized after 5 years. Deferred revenue consists of billings or payments received in advance of revenue being recognized and can fluctuate with changes in billing frequency and other factors. As a result of these factors, as well as our mix of revenue streams and billing frequencies, we do not believe that changes in our remaining performance obligations and deferred revenue in a given period are directly correlated with our revenue growth in that period.</w:t>
      </w:r>
    </w:p>
    <w:p>
      <w:pPr>
        <w:spacing w:after="0" w:line="18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anticipate that we will experience fluctuations in our revenues from quarter-to-quarter due to a variety of factors, including acquisitions, the supply and demand of end user products such as automobiles, the size and success of our sales force and the number of users who are aware of and use our application. See Note 4 to our unaudited condensed consolidated financial statements included within this report for more information.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classify our operating expenses into the following seven categories, which are cost of revenues, sales and marketing, research and development, general and administrative, change in fair value of contingent acquisition liabilities, amortization of intangible assets and restructuring. With respect to sales and marketing, research and development, and general and administrative, each expense category includes overhead, including rent and related occupancy costs, which is allocated based on headcount. We plan to continue investing to support our go-to-market strategies and customer engagement, develop our current and future applications and support our operations as a public company. While our gross margin may continue to fluctuate in the near-term due to revenue contributions from varying product mixes, as well as acquisitions, we expect it will stabilize as we continue to scale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21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SoundHound’s cost of revenues are comprised of direct costs associated directly with SoundHound’s revenue streams as described above. This primarily includes costs and depreciation related to hosting for cloud-based services, such as data centers, electricity charges, content fees and certain personnel-related expenses including personnel costs under call centers that are directly related to these revenue streams. Additionally, our cost of revenues also includes the amortization of developed technology acquired from SYNQ3, Amelia and other acquisition as intangible assets.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Sales and marketing expenses consist of personnel-related costs of the sales and marketing team, promotional campaigns, advertising fees and other marketing related costs. Advertising costs are expensed to sales and marketing when incurred.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research and development expenses are our largest operating expense as we continue to develop our software platforms and produce new technological capabilities.</w:t>
      </w:r>
    </w:p>
    <w:p>
      <w:pPr>
        <w:spacing w:after="0" w:line="16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costs of these activities consist primarily of personnel-related expenses, third-party consultants and costs associated with technological supplies and materials, along with other direct and allocated expenses such as facility costs, depreciation and other shared expenses. We expense research and development costs associated with the design and development of new products in the periods in which they are incurred.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General and administrative expenses consist of personnel-related costs, accounting and legal expenses, third-party consulting costs, insurance and allocated overhead including rent, depreciation and utilities.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Contingent Acquisition Liabilities</w:t>
      </w:r>
    </w:p>
    <w:p>
      <w:pPr>
        <w:spacing w:after="0" w:line="21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change in fair value of contingent acquisition liabilities is related to contingent consideration from the SYNQ3 and Amelia acquisitions. The contingent consideration was determined to be liability classified and is remeasured as of each reporting period with a corresponding change in fair value recorded.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of Intangible Assets</w:t>
      </w:r>
    </w:p>
    <w:p>
      <w:pPr>
        <w:spacing w:after="0" w:line="21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Amortization of acquired customer relationships, tradename and conversation data is included within operating expenses and arises from the amortization of assets acquired through the acquisitions. We review intangible assets for impairment at least annually, or whenever events or changes in circumstances indicate that the carrying amount may not be recoverable. If an evaluation of recoverability is required, the estimated undiscounted future cash flows directly associated with the asset are compared with the asset’s carrying amount. If the estimated future cash flows from the use of the asset are less than the carrying value, an impairment charge would be recorded to write down the asset to its estimated fair value.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Restructuring expenses consisted of employee severance payments, employee benefits and share-based compensation related to reduced headcount from our restructuring plan ("Restructuring Plan") announced in January 2023. The Restructuring Plan was complete as of December 31, 2023.</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Extinguishment of Debt</w:t>
      </w:r>
    </w:p>
    <w:p>
      <w:pPr>
        <w:spacing w:after="0" w:line="221"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Loss on extinguishment of debt represents the loss associated with the repayment of the Senior Secured Term Loan Credit Agreement with ACP Post OAK Credit II LLC (the "Term Loan") in June 2024 and the repayment of the 2021 note payable ("SVB March 2021 Note") and 2021 convertible note ("SCI June 2021 Note") in April 2023. See Note 9 to our unaudited condensed consolidated financial statements included within this report for more information.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Interest expense consists of stated interest incurred on our formerly outstanding convertible notes and term debt during the relevant periods, as well as the amortization of debt discounts and issuance costs over the life of the instruments or a shorter period if a lender can demand payment in the event certain events occur that are outside of our control.</w:t>
      </w:r>
    </w:p>
    <w:p>
      <w:pPr>
        <w:spacing w:after="0" w:line="17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issuance of debt instruments with direct transaction costs, embedded derivatives and warrant instruments has resulted in debt discounts. Direct transaction costs consist of various transaction fees and third-party costs, such as bank and legal fees, that are incurred upon issuance. We expect the impact of the discounts from debt issuance costs to the interest expense will decrease due to the repayment of Term Loan in June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21"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Other income (expense), net consists of the change in fair value related to our derivative liability, interest income, gain on bargain purchase and other income (expense).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Income tax expense includes federal, state and foreign taxes and is based on reported income before income taxes. We are in a cumulative loss position for tax purposes based on historical earnings. As of December 31, 2023, we had $395.5 million of U.S. federal and $109.4 million of state net operating loss carryforwards available to reduce future taxable income. The federal and state net operating loss carryforwards will start to expire in 2025 and 2028, respectively, with the exception of $306.8 million federal net operating loss carryforwards and $5.6 million state net operating loss carryforwards, which can be carried forward indefinitely.</w:t>
      </w:r>
    </w:p>
    <w:p>
      <w:pPr>
        <w:spacing w:after="0" w:line="18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had federal and state research and development credit carryforwards of $14.4 million and $10.9 million, respectively, as of December 31, 2023. The federal credits will expire starting in 2029 if not utilized. The state credits can be carried forward indefinitely. We also had Canadian SR&amp;ED tax credits of $1.7 million, which expire starting in 2038 if not utilized.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77"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8"/>
          <w:szCs w:val="18"/>
          <w:color w:val="auto"/>
        </w:rPr>
        <w:t>We recognized a change in valuation allowance due to taxable temporary differences from the intangible assets acquired from the Amelia Acquisition, resulting in the tax benefit of $11.1 million during the three and nine months ended September 30, 2024.</w:t>
      </w:r>
    </w:p>
    <w:p>
      <w:pPr>
        <w:spacing w:after="0" w:line="164" w:lineRule="exact"/>
        <w:rPr>
          <w:sz w:val="20"/>
          <w:szCs w:val="20"/>
          <w:color w:val="auto"/>
        </w:rPr>
      </w:pPr>
    </w:p>
    <w:p>
      <w:pPr>
        <w:jc w:val="both"/>
        <w:ind w:firstLine="318"/>
        <w:spacing w:after="0" w:line="244" w:lineRule="auto"/>
        <w:rPr>
          <w:sz w:val="20"/>
          <w:szCs w:val="20"/>
          <w:color w:val="auto"/>
        </w:rPr>
      </w:pPr>
      <w:r>
        <w:rPr>
          <w:rFonts w:ascii="Times New Roman" w:cs="Times New Roman" w:eastAsia="Times New Roman" w:hAnsi="Times New Roman"/>
          <w:sz w:val="18"/>
          <w:szCs w:val="18"/>
          <w:color w:val="auto"/>
        </w:rPr>
        <w:t>Under Sections 382 and 383 of the Internal Revenue Code of 1986 and similar state tax laws, utilization of net operating loss carryforwards and tax credits may be subject to annual limitations due to certain ownership changes. Our net operating loss carryforwards and tax credits could expire before utilization if subject to annual limitations.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tables set forth the significant components of our results of operations for the three and nine months ended September 30, 2024 and 2023 ($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8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3"/>
        </w:trPr>
        <w:tc>
          <w:tcPr>
            <w:tcW w:w="4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gridSpan w:val="3"/>
          </w:tcPr>
          <w:p>
            <w:pPr>
              <w:ind w:left="9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80" w:type="dxa"/>
            <w:vAlign w:val="bottom"/>
          </w:tcPr>
          <w:p>
            <w:pPr>
              <w:spacing w:after="0"/>
              <w:rPr>
                <w:sz w:val="20"/>
                <w:szCs w:val="20"/>
                <w:color w:val="auto"/>
              </w:rPr>
            </w:pPr>
          </w:p>
        </w:tc>
      </w:tr>
      <w:tr>
        <w:trPr>
          <w:trHeight w:val="26"/>
        </w:trPr>
        <w:tc>
          <w:tcPr>
            <w:tcW w:w="49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3"/>
        </w:trPr>
        <w:tc>
          <w:tcPr>
            <w:tcW w:w="4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
        </w:trPr>
        <w:tc>
          <w:tcPr>
            <w:tcW w:w="4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8"/>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25,094</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13,268</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11,826</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89 %</w:t>
            </w:r>
          </w:p>
        </w:tc>
      </w:tr>
      <w:tr>
        <w:trPr>
          <w:trHeight w:val="22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r>
      <w:tr>
        <w:trPr>
          <w:trHeight w:val="25"/>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5"/>
        </w:trPr>
        <w:tc>
          <w:tcPr>
            <w:tcW w:w="4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12,901</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259 %</w:t>
            </w:r>
          </w:p>
        </w:tc>
      </w:tr>
      <w:tr>
        <w:trPr>
          <w:trHeight w:val="240"/>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8,363</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4,471</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r>
      <w:tr>
        <w:trPr>
          <w:trHeight w:val="25"/>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5"/>
        </w:trPr>
        <w:tc>
          <w:tcPr>
            <w:tcW w:w="4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19,545</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12,806</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r>
      <w:tr>
        <w:trPr>
          <w:trHeight w:val="240"/>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17,031</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6,931</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10,100</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146 %</w:t>
            </w:r>
          </w:p>
        </w:tc>
      </w:tr>
      <w:tr>
        <w:trPr>
          <w:trHeight w:val="25"/>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5"/>
        </w:trPr>
        <w:tc>
          <w:tcPr>
            <w:tcW w:w="4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acquisition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40"/>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5"/>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5"/>
        </w:trPr>
        <w:tc>
          <w:tcPr>
            <w:tcW w:w="4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w:t>
            </w: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3"/>
        </w:trPr>
        <w:tc>
          <w:tcPr>
            <w:tcW w:w="4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58,861</w:t>
            </w:r>
          </w:p>
        </w:tc>
        <w:tc>
          <w:tcPr>
            <w:tcW w:w="8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27,798</w:t>
            </w:r>
          </w:p>
        </w:tc>
        <w:tc>
          <w:tcPr>
            <w:tcW w:w="8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31,063</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112 %</w:t>
            </w:r>
          </w:p>
        </w:tc>
      </w:tr>
      <w:tr>
        <w:trPr>
          <w:trHeight w:val="25"/>
        </w:trPr>
        <w:tc>
          <w:tcPr>
            <w:tcW w:w="4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8"/>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(33,767)</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(14,530)</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(19,237)</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132 %</w:t>
            </w:r>
          </w:p>
        </w:tc>
      </w:tr>
      <w:tr>
        <w:trPr>
          <w:trHeight w:val="22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r>
      <w:tr>
        <w:trPr>
          <w:trHeight w:val="25"/>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5"/>
        </w:trPr>
        <w:tc>
          <w:tcPr>
            <w:tcW w:w="4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40"/>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(5,442)</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5"/>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5"/>
        </w:trPr>
        <w:tc>
          <w:tcPr>
            <w:tcW w:w="4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r>
      <w:tr>
        <w:trPr>
          <w:trHeight w:val="233"/>
        </w:trPr>
        <w:tc>
          <w:tcPr>
            <w:tcW w:w="4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other expense, net</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8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(4,106)</w:t>
            </w:r>
          </w:p>
        </w:tc>
        <w:tc>
          <w:tcPr>
            <w:tcW w:w="8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5,631</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5"/>
        </w:trPr>
        <w:tc>
          <w:tcPr>
            <w:tcW w:w="4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8"/>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(32,242)</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(18,636)</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(13,606)</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r>
      <w:tr>
        <w:trPr>
          <w:trHeight w:val="24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(10,491)</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r>
      <w:tr>
        <w:trPr>
          <w:trHeight w:val="25"/>
        </w:trPr>
        <w:tc>
          <w:tcPr>
            <w:tcW w:w="4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83"/>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(21,751)</w:t>
            </w:r>
          </w:p>
        </w:tc>
        <w:tc>
          <w:tcPr>
            <w:tcW w:w="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(20,197)</w:t>
            </w: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849"/>
        </w:trPr>
        <w:tc>
          <w:tcPr>
            <w:tcW w:w="4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11"/>
        </w:trPr>
        <w:tc>
          <w:tcPr>
            <w:tcW w:w="49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8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3"/>
        </w:trPr>
        <w:tc>
          <w:tcPr>
            <w:tcW w:w="4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80" w:type="dxa"/>
            <w:vAlign w:val="bottom"/>
          </w:tcPr>
          <w:p>
            <w:pPr>
              <w:spacing w:after="0"/>
              <w:rPr>
                <w:sz w:val="20"/>
                <w:szCs w:val="20"/>
                <w:color w:val="auto"/>
              </w:rPr>
            </w:pPr>
          </w:p>
        </w:tc>
      </w:tr>
      <w:tr>
        <w:trPr>
          <w:trHeight w:val="25"/>
        </w:trPr>
        <w:tc>
          <w:tcPr>
            <w:tcW w:w="49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3"/>
        </w:trPr>
        <w:tc>
          <w:tcPr>
            <w:tcW w:w="4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
        </w:trPr>
        <w:tc>
          <w:tcPr>
            <w:tcW w:w="4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8"/>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50,150</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21,424</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r>
      <w:tr>
        <w:trPr>
          <w:trHeight w:val="22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r>
      <w:tr>
        <w:trPr>
          <w:trHeight w:val="25"/>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5"/>
        </w:trPr>
        <w:tc>
          <w:tcPr>
            <w:tcW w:w="4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22,550</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205 %</w:t>
            </w:r>
          </w:p>
        </w:tc>
      </w:tr>
      <w:tr>
        <w:trPr>
          <w:trHeight w:val="239"/>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19,560</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6"/>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5"/>
        </w:trPr>
        <w:tc>
          <w:tcPr>
            <w:tcW w:w="4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50,161</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38,726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39"/>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36,833</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78 %</w:t>
            </w:r>
          </w:p>
        </w:tc>
      </w:tr>
      <w:tr>
        <w:trPr>
          <w:trHeight w:val="26"/>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5"/>
        </w:trPr>
        <w:tc>
          <w:tcPr>
            <w:tcW w:w="49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fair value of contingent acquisition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39"/>
        </w:trPr>
        <w:tc>
          <w:tcPr>
            <w:tcW w:w="4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3,603</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6"/>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5"/>
        </w:trPr>
        <w:tc>
          <w:tcPr>
            <w:tcW w:w="4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w:t>
            </w: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(3,751)</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3"/>
        </w:trPr>
        <w:tc>
          <w:tcPr>
            <w:tcW w:w="4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134,431</w:t>
            </w:r>
          </w:p>
        </w:tc>
        <w:tc>
          <w:tcPr>
            <w:tcW w:w="8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84,941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49,490</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58 %</w:t>
            </w:r>
          </w:p>
        </w:tc>
      </w:tr>
      <w:tr>
        <w:trPr>
          <w:trHeight w:val="25"/>
        </w:trPr>
        <w:tc>
          <w:tcPr>
            <w:tcW w:w="4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8"/>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(84,281)</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(56,215)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(28,066)</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45"/>
        </w:trPr>
        <w:tc>
          <w:tcPr>
            <w:tcW w:w="498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r>
      <w:tr>
        <w:trPr>
          <w:trHeight w:val="245"/>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0"/>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(15,587)</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(14,750)</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1762 %</w:t>
            </w:r>
          </w:p>
        </w:tc>
      </w:tr>
      <w:tr>
        <w:trPr>
          <w:trHeight w:val="25"/>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5"/>
        </w:trPr>
        <w:tc>
          <w:tcPr>
            <w:tcW w:w="4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(10,859)</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0"/>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9,087</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(3109)%</w:t>
            </w:r>
          </w:p>
        </w:tc>
      </w:tr>
      <w:tr>
        <w:trPr>
          <w:trHeight w:val="25"/>
        </w:trPr>
        <w:tc>
          <w:tcPr>
            <w:tcW w:w="4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8"/>
        </w:trPr>
        <w:tc>
          <w:tcPr>
            <w:tcW w:w="4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expense, net</w:t>
            </w: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(17,359)</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(4,947)</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3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(101,640)</w:t>
            </w:r>
          </w:p>
        </w:tc>
        <w:tc>
          <w:tcPr>
            <w:tcW w:w="8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(68,627)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(33,013)</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48 %</w:t>
            </w:r>
          </w:p>
        </w:tc>
      </w:tr>
      <w:tr>
        <w:trPr>
          <w:trHeight w:val="25"/>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5"/>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(9,558)</w:t>
            </w:r>
          </w:p>
        </w:tc>
        <w:tc>
          <w:tcPr>
            <w:tcW w:w="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(11,865)</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r>
      <w:tr>
        <w:trPr>
          <w:trHeight w:val="258"/>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(92,082)</w:t>
            </w:r>
          </w:p>
        </w:tc>
        <w:tc>
          <w:tcPr>
            <w:tcW w:w="8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(70,934)</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(21,148)</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0"/>
        </w:trPr>
        <w:tc>
          <w:tcPr>
            <w:tcW w:w="4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Not meaningful</w:t>
      </w:r>
    </w:p>
    <w:p>
      <w:pPr>
        <w:spacing w:after="0" w:line="2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our gross profit and gross margin ($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20" w:type="dxa"/>
            <w:vAlign w:val="bottom"/>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580" w:type="dxa"/>
            <w:vAlign w:val="bottom"/>
          </w:tcPr>
          <w:p>
            <w:pPr>
              <w:spacing w:after="0"/>
              <w:rPr>
                <w:sz w:val="18"/>
                <w:szCs w:val="18"/>
                <w:color w:val="auto"/>
              </w:rPr>
            </w:pPr>
          </w:p>
        </w:tc>
      </w:tr>
      <w:tr>
        <w:trPr>
          <w:trHeight w:val="233"/>
        </w:trPr>
        <w:tc>
          <w:tcPr>
            <w:tcW w:w="6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5"/>
        </w:trPr>
        <w:tc>
          <w:tcPr>
            <w:tcW w:w="62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3"/>
        </w:trPr>
        <w:tc>
          <w:tcPr>
            <w:tcW w:w="6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580" w:type="dxa"/>
            <w:vAlign w:val="bottom"/>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
        </w:trPr>
        <w:tc>
          <w:tcPr>
            <w:tcW w:w="6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25,094</w:t>
            </w: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13,268</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89 %</w:t>
            </w:r>
          </w:p>
        </w:tc>
      </w:tr>
      <w:tr>
        <w:trPr>
          <w:trHeight w:val="24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60" w:type="dxa"/>
            <w:vAlign w:val="bottom"/>
          </w:tcPr>
          <w:p>
            <w:pPr>
              <w:spacing w:after="0"/>
              <w:rPr>
                <w:sz w:val="20"/>
                <w:szCs w:val="20"/>
                <w:color w:val="auto"/>
              </w:rPr>
            </w:pP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12,901</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3,590</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259 %</w:t>
            </w:r>
          </w:p>
        </w:tc>
      </w:tr>
      <w:tr>
        <w:trPr>
          <w:trHeight w:val="25"/>
        </w:trPr>
        <w:tc>
          <w:tcPr>
            <w:tcW w:w="6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12,193</w:t>
            </w: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9,678</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58"/>
        </w:trPr>
        <w:tc>
          <w:tcPr>
            <w:tcW w:w="6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Gross margin</w:t>
            </w:r>
          </w:p>
        </w:tc>
        <w:tc>
          <w:tcPr>
            <w:tcW w:w="3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80" w:type="dxa"/>
            <w:vAlign w:val="bottom"/>
          </w:tcPr>
          <w:p>
            <w:pPr>
              <w:spacing w:after="0"/>
              <w:rPr>
                <w:sz w:val="22"/>
                <w:szCs w:val="22"/>
                <w:color w:val="auto"/>
              </w:rPr>
            </w:pPr>
          </w:p>
        </w:tc>
        <w:tc>
          <w:tcPr>
            <w:tcW w:w="56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0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6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20" w:type="dxa"/>
            <w:vAlign w:val="bottom"/>
            <w:gridSpan w:val="5"/>
          </w:tcPr>
          <w:p>
            <w:pPr>
              <w:ind w:left="52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580" w:type="dxa"/>
            <w:vAlign w:val="bottom"/>
          </w:tcPr>
          <w:p>
            <w:pPr>
              <w:spacing w:after="0"/>
              <w:rPr>
                <w:sz w:val="18"/>
                <w:szCs w:val="18"/>
                <w:color w:val="auto"/>
              </w:rPr>
            </w:pPr>
          </w:p>
        </w:tc>
      </w:tr>
      <w:tr>
        <w:trPr>
          <w:trHeight w:val="233"/>
        </w:trPr>
        <w:tc>
          <w:tcPr>
            <w:tcW w:w="6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5"/>
        </w:trPr>
        <w:tc>
          <w:tcPr>
            <w:tcW w:w="62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3"/>
        </w:trPr>
        <w:tc>
          <w:tcPr>
            <w:tcW w:w="6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580" w:type="dxa"/>
            <w:vAlign w:val="bottom"/>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
        </w:trPr>
        <w:tc>
          <w:tcPr>
            <w:tcW w:w="6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50,150</w:t>
            </w: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28,726</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r>
      <w:tr>
        <w:trPr>
          <w:trHeight w:val="24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22,550</w:t>
            </w:r>
          </w:p>
        </w:tc>
        <w:tc>
          <w:tcPr>
            <w:tcW w:w="80" w:type="dxa"/>
            <w:vAlign w:val="bottom"/>
          </w:tcPr>
          <w:p>
            <w:pPr>
              <w:spacing w:after="0"/>
              <w:rPr>
                <w:sz w:val="20"/>
                <w:szCs w:val="20"/>
                <w:color w:val="auto"/>
              </w:rPr>
            </w:pPr>
          </w:p>
        </w:tc>
        <w:tc>
          <w:tcPr>
            <w:tcW w:w="56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7,396</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205 %</w:t>
            </w:r>
          </w:p>
        </w:tc>
      </w:tr>
      <w:tr>
        <w:trPr>
          <w:trHeight w:val="25"/>
        </w:trPr>
        <w:tc>
          <w:tcPr>
            <w:tcW w:w="6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27,600</w:t>
            </w: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21,330</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r>
      <w:tr>
        <w:trPr>
          <w:trHeight w:val="258"/>
        </w:trPr>
        <w:tc>
          <w:tcPr>
            <w:tcW w:w="6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Gross margin</w:t>
            </w:r>
          </w:p>
        </w:tc>
        <w:tc>
          <w:tcPr>
            <w:tcW w:w="3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80" w:type="dxa"/>
            <w:vAlign w:val="bottom"/>
          </w:tcPr>
          <w:p>
            <w:pPr>
              <w:spacing w:after="0"/>
              <w:rPr>
                <w:sz w:val="22"/>
                <w:szCs w:val="22"/>
                <w:color w:val="auto"/>
              </w:rPr>
            </w:pPr>
          </w:p>
        </w:tc>
        <w:tc>
          <w:tcPr>
            <w:tcW w:w="56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0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0"/>
        </w:trPr>
        <w:tc>
          <w:tcPr>
            <w:tcW w:w="6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tables summarize our revenues by type and geographic regions for the three and nine months ended September 30, 2024 and 2023 ($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8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3"/>
        </w:trPr>
        <w:tc>
          <w:tcPr>
            <w:tcW w:w="4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80" w:type="dxa"/>
            <w:vAlign w:val="bottom"/>
          </w:tcPr>
          <w:p>
            <w:pPr>
              <w:spacing w:after="0"/>
              <w:rPr>
                <w:sz w:val="20"/>
                <w:szCs w:val="20"/>
                <w:color w:val="auto"/>
              </w:rPr>
            </w:pPr>
          </w:p>
        </w:tc>
      </w:tr>
      <w:tr>
        <w:trPr>
          <w:trHeight w:val="26"/>
        </w:trPr>
        <w:tc>
          <w:tcPr>
            <w:tcW w:w="49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3"/>
        </w:trPr>
        <w:tc>
          <w:tcPr>
            <w:tcW w:w="4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
        </w:trPr>
        <w:tc>
          <w:tcPr>
            <w:tcW w:w="4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8"/>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royalties</w:t>
            </w: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5,987</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(6,629)</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subscriptions</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19,029</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3776 %</w:t>
            </w:r>
          </w:p>
        </w:tc>
      </w:tr>
      <w:tr>
        <w:trPr>
          <w:trHeight w:val="26"/>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5"/>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Monetization</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58"/>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25,094</w:t>
            </w:r>
          </w:p>
        </w:tc>
        <w:tc>
          <w:tcPr>
            <w:tcW w:w="8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13,268</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11,826</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89 %</w:t>
            </w:r>
          </w:p>
        </w:tc>
      </w:tr>
      <w:tr>
        <w:trPr>
          <w:trHeight w:val="20"/>
        </w:trPr>
        <w:tc>
          <w:tcPr>
            <w:tcW w:w="4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8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3"/>
        </w:trPr>
        <w:tc>
          <w:tcPr>
            <w:tcW w:w="4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80" w:type="dxa"/>
            <w:vAlign w:val="bottom"/>
          </w:tcPr>
          <w:p>
            <w:pPr>
              <w:spacing w:after="0"/>
              <w:rPr>
                <w:sz w:val="20"/>
                <w:szCs w:val="20"/>
                <w:color w:val="auto"/>
              </w:rPr>
            </w:pPr>
          </w:p>
        </w:tc>
      </w:tr>
      <w:tr>
        <w:trPr>
          <w:trHeight w:val="26"/>
        </w:trPr>
        <w:tc>
          <w:tcPr>
            <w:tcW w:w="49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3"/>
        </w:trPr>
        <w:tc>
          <w:tcPr>
            <w:tcW w:w="4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
        </w:trPr>
        <w:tc>
          <w:tcPr>
            <w:tcW w:w="4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8"/>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royalties</w:t>
            </w: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23,599</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subscriptions</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26,250</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1933 %</w:t>
            </w:r>
          </w:p>
        </w:tc>
      </w:tr>
      <w:tr>
        <w:trPr>
          <w:trHeight w:val="26"/>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5"/>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Monetization</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58"/>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50,150</w:t>
            </w:r>
          </w:p>
        </w:tc>
        <w:tc>
          <w:tcPr>
            <w:tcW w:w="8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28,726</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21,424</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75 %</w:t>
            </w:r>
          </w:p>
        </w:tc>
      </w:tr>
      <w:tr>
        <w:trPr>
          <w:trHeight w:val="20"/>
        </w:trPr>
        <w:tc>
          <w:tcPr>
            <w:tcW w:w="4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8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3"/>
        </w:trPr>
        <w:tc>
          <w:tcPr>
            <w:tcW w:w="4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80" w:type="dxa"/>
            <w:vAlign w:val="bottom"/>
          </w:tcPr>
          <w:p>
            <w:pPr>
              <w:spacing w:after="0"/>
              <w:rPr>
                <w:sz w:val="20"/>
                <w:szCs w:val="20"/>
                <w:color w:val="auto"/>
              </w:rPr>
            </w:pPr>
          </w:p>
        </w:tc>
      </w:tr>
      <w:tr>
        <w:trPr>
          <w:trHeight w:val="25"/>
        </w:trPr>
        <w:tc>
          <w:tcPr>
            <w:tcW w:w="49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3"/>
        </w:trPr>
        <w:tc>
          <w:tcPr>
            <w:tcW w:w="4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
        </w:trPr>
        <w:tc>
          <w:tcPr>
            <w:tcW w:w="4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8"/>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w:t>
            </w: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4,956</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(5,543)</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4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16,672</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15,880</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2005 %</w:t>
            </w:r>
          </w:p>
        </w:tc>
      </w:tr>
      <w:tr>
        <w:trPr>
          <w:trHeight w:val="25"/>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5"/>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w:t>
            </w:r>
          </w:p>
        </w:tc>
        <w:tc>
          <w:tcPr>
            <w:tcW w:w="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r>
      <w:tr>
        <w:trPr>
          <w:trHeight w:val="258"/>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25,094</w:t>
            </w:r>
          </w:p>
        </w:tc>
        <w:tc>
          <w:tcPr>
            <w:tcW w:w="8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13,268</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11,826</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89 %</w:t>
            </w:r>
          </w:p>
        </w:tc>
      </w:tr>
      <w:tr>
        <w:trPr>
          <w:trHeight w:val="20"/>
        </w:trPr>
        <w:tc>
          <w:tcPr>
            <w:tcW w:w="4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8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3"/>
        </w:trPr>
        <w:tc>
          <w:tcPr>
            <w:tcW w:w="4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80" w:type="dxa"/>
            <w:vAlign w:val="bottom"/>
          </w:tcPr>
          <w:p>
            <w:pPr>
              <w:spacing w:after="0"/>
              <w:rPr>
                <w:sz w:val="20"/>
                <w:szCs w:val="20"/>
                <w:color w:val="auto"/>
              </w:rPr>
            </w:pPr>
          </w:p>
        </w:tc>
      </w:tr>
      <w:tr>
        <w:trPr>
          <w:trHeight w:val="25"/>
        </w:trPr>
        <w:tc>
          <w:tcPr>
            <w:tcW w:w="49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3"/>
        </w:trPr>
        <w:tc>
          <w:tcPr>
            <w:tcW w:w="4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
        </w:trPr>
        <w:tc>
          <w:tcPr>
            <w:tcW w:w="4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8"/>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w:t>
            </w: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14,137</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4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24,250</w:t>
            </w:r>
          </w:p>
        </w:tc>
        <w:tc>
          <w:tcPr>
            <w:tcW w:w="80" w:type="dxa"/>
            <w:vAlign w:val="bottom"/>
          </w:tcPr>
          <w:p>
            <w:pPr>
              <w:spacing w:after="0"/>
              <w:rPr>
                <w:sz w:val="20"/>
                <w:szCs w:val="20"/>
                <w:color w:val="auto"/>
              </w:rPr>
            </w:pPr>
          </w:p>
        </w:tc>
        <w:tc>
          <w:tcPr>
            <w:tcW w:w="52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100" w:type="dxa"/>
            <w:vAlign w:val="bottom"/>
          </w:tcPr>
          <w:p>
            <w:pPr>
              <w:spacing w:after="0"/>
              <w:rPr>
                <w:sz w:val="20"/>
                <w:szCs w:val="20"/>
                <w:color w:val="auto"/>
              </w:rPr>
            </w:pP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963 %</w:t>
            </w:r>
          </w:p>
        </w:tc>
      </w:tr>
      <w:tr>
        <w:trPr>
          <w:trHeight w:val="25"/>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5"/>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11,763</w:t>
            </w:r>
          </w:p>
        </w:tc>
        <w:tc>
          <w:tcPr>
            <w:tcW w:w="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58"/>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50,150</w:t>
            </w:r>
          </w:p>
        </w:tc>
        <w:tc>
          <w:tcPr>
            <w:tcW w:w="8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28,726</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21,424</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75 %</w:t>
            </w:r>
          </w:p>
        </w:tc>
      </w:tr>
      <w:tr>
        <w:trPr>
          <w:trHeight w:val="20"/>
        </w:trPr>
        <w:tc>
          <w:tcPr>
            <w:tcW w:w="4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Total revenues increased by $11.8 million, or 89%, in the three months ended September 30, 2024 compared to the same period in 2023. The increase of $18.5 million in service subscription revenue, primarily based in the Americas, was driven by the contribution of Amelia and SYNQ3 revenue. This is offset by a decrease in product royalties revenue in the Asia region, due to the minimum guarantee licensing revenue relating to the edge solution ("Houndify Edge") recognized in the previous period.</w:t>
      </w:r>
    </w:p>
    <w:p>
      <w:pPr>
        <w:spacing w:after="0" w:line="18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Total revenues increased by $21.4 million, or 75%, in the nine months ended September 30, 2024 compared to the same period in 2023. The increase of $25.0 million in service subscription revenue, primarily based in the Americas, was driven by the contribution of Amelia and SYNQ3 revenue. This is offset by a decrease in product royalties revenue in the Asia region, due to the minimum guarantee licensing revenue relating to Houndify Edge recognized in the previous period. We also saw an increase of professional service and unit-based Product Royalties, including SoundHound Chat AI, in both the Asia and EMEA region.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ectPr>
          <w:pgSz w:w="11900" w:h="16838" w:orient="portrait"/>
          <w:cols w:equalWidth="0" w:num="1">
            <w:col w:w="11240"/>
          </w:cols>
          <w:pgMar w:left="320" w:top="331"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Cost of revenues increased by $9.3 million, or 259%, and $15.2 million, or 205% in the three and nine months ended September 30, 2024, respectively, compared to the same periods in 2023. Gross margin decreased to 49% and 55% during the three and nine months ended September 30, 2024, respectively, compared to 73% and 74% during the same periods in 2023 primarily due to the acquisitions of Amelia and SYNQ3, which included a mix of lower margin call center agent business from SYNQ3 and amortization of acquired intangible assets. In the past, our gross margin has fluctuated and may continue to fluctuate from quarter to quarter due to revenue contributions from varying product mixes. However, we expect to gradually improve gross margins in the mid-term, especially as it relates the integration of Amelia and SYNQ3.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2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Sales and marketing expenses increased by $3.9 million, or 87%, in the three months ended September 30, 2024 compared to the same period in 2023, primarily due to increases in 2024 of $3.2 million in personnel-related costs, $0.5 million in legal and professional fees, $0.2 million in consulting fees, $0.1 million in office expense, and $0.1 million in travel expenses, which were partially offset by a decrease of $0.3 million incurred for information technology and facility allocations. Included in the sales and marketing expense is an increase of $1.7 million arising from the Amelia acquisition, stemming from increased personnel-related costs.</w:t>
      </w:r>
    </w:p>
    <w:p>
      <w:pPr>
        <w:spacing w:after="0" w:line="18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Sales and marketing expenses increased by $5.1 million, or 36%, in the nine months ended September 30, 2024 compared to the same period in 2023, primarily due to increases in 2024 of $4.5 million in personnel-related costs, $0.5 million in consulting fees, $0.5 million in legal and professional fees, $0.2 million in office expense, and $0.2 million in travel expense, which were partially offset by a decrease of $0.7 million incurred for information technology and facility allocations.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Research and development expenses increased by $6.7 million, or 53%, in the three months ended September 30, 2024 compared to the same period in 2023. The increase in research and development expenses was primarily due to increased personnel-related costs of $4.3 million, spending on cloud computing services of $2.7 million, office expense of $0.1 million and consulting fees of $0.1 million. This is partially offset by the reduced information technology and facility allocations of $0.5 million, and legal and professional fees of $0.1 million. Included in the research and development expense is an increase of $1.0 million arising from the Amelia acquisition and $1.1 million arising from the SYNQ3 acquisition, stemming from increased personnel-related costs.</w:t>
      </w:r>
    </w:p>
    <w:p>
      <w:pPr>
        <w:spacing w:after="0" w:line="18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Research and development expenses increased by $11.4 million, or 30%, in the nine months ended September 30, 2024 compared to the same period in 2023. The increase in research and development expenses was primarily due to increased personnel-related costs of $8.2 million, spending on cloud computing services of $5.3 million, $0.2 million in property-related expenses and consulting fees of $0.2 million. This is partially offset by the reduced information technology and facility allocations of $1.8 million, legal and professional fees of $0.4 million, and office expenses of $0.2 million. Included in the research and development expense is an increase of $2.8 million arising from the SYNQ3 acquisition and $1.0 million arising from the Amelia acquisition, stemming from increased personnel-related costs.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1"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General and administrative expenses increased by $10.1 million, or 146%, in the three months ended September 30, 2024 compared to the same period in 2023. The increase in general and administrative expenses was primarily due to an increase of $6.0 million in legal and professional fees, of which $4.8 million relate to the Amelia Acquisition, $2.8 million in personnel-related costs, $0.8 million in information technology and facility allocations, $0.6 million in consulting fees, $0.4 million in office expenses, and $0.2 million in bad debt expense. The SYNQ3 and Amelia Acquisitions led to increases in personnel-related costs, amortization expense and office expenses. This increase was offset by reductions of $0.6 million in equipment rental expense, and $0.2 million in property-related expenses. Included in the general and administrative expense is an increase of $0.7 million arising from the Amelia acquisition, stemming from increased personnel-related costs.</w:t>
      </w:r>
    </w:p>
    <w:p>
      <w:pPr>
        <w:spacing w:after="0" w:line="18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increased by $16.2 million, or 78%, in the nine months ended September 30, 2024 compared to the same period in 2023. The increase in general and administrative expenses was primarily due to an increase of $10.7 million in legal and professional fees, of which $4.8 million relate to the Amelia Acquisition and $0.8 million relate to the SYNQ3 Acquisition, $4.4 million in personnel-related costs, $2.5 million in information technology and facility allocations, $0.4 million in bad debt expense, $0.3 million in consulting fees, and $0.1 million in travel</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expense. The SYNQ3 and Amelia Acquisitions led to increases in personnel-related costs, amortization expense and office expenses. This increase was offset by reductions of $0.8 million in insurance expense, $0.7 million in equipment rental cost and $0.5 million in office expense, and $0.3 million in property-related expenses. Included in the general and administrative expense is an increase of $0.7 million arising from the Amelia acquisition, stemming from increased personnel-related costs.</w:t>
      </w:r>
    </w:p>
    <w:p>
      <w:pPr>
        <w:spacing w:after="0" w:line="180" w:lineRule="exact"/>
        <w:rPr>
          <w:sz w:val="20"/>
          <w:szCs w:val="20"/>
          <w:color w:val="auto"/>
        </w:rPr>
      </w:pPr>
    </w:p>
    <w:p>
      <w:pPr>
        <w:jc w:val="both"/>
        <w:ind w:right="100" w:firstLine="318"/>
        <w:spacing w:after="0" w:line="259" w:lineRule="auto"/>
        <w:rPr>
          <w:sz w:val="20"/>
          <w:szCs w:val="20"/>
          <w:color w:val="auto"/>
        </w:rPr>
      </w:pPr>
      <w:r>
        <w:rPr>
          <w:rFonts w:ascii="Times New Roman" w:cs="Times New Roman" w:eastAsia="Times New Roman" w:hAnsi="Times New Roman"/>
          <w:sz w:val="18"/>
          <w:szCs w:val="18"/>
          <w:color w:val="auto"/>
        </w:rPr>
        <w:t>We expect our general and administrative expenses to increase in the short term as we invest in our control environment. However, in the long term, we expect general and administrative expenses to grow at a rate below that of our revenue, aligning with our strategic emphasis on cost effectiveness and sustainable financial performance.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Contingent Acquisition Liabilities</w:t>
      </w:r>
    </w:p>
    <w:p>
      <w:pPr>
        <w:spacing w:after="0" w:line="221" w:lineRule="exact"/>
        <w:rPr>
          <w:sz w:val="20"/>
          <w:szCs w:val="20"/>
          <w:color w:val="auto"/>
        </w:rPr>
      </w:pPr>
    </w:p>
    <w:p>
      <w:pPr>
        <w:jc w:val="both"/>
        <w:ind w:right="100" w:firstLine="318"/>
        <w:spacing w:after="0" w:line="255" w:lineRule="auto"/>
        <w:rPr>
          <w:sz w:val="20"/>
          <w:szCs w:val="20"/>
          <w:color w:val="auto"/>
        </w:rPr>
      </w:pPr>
      <w:r>
        <w:rPr>
          <w:rFonts w:ascii="Times New Roman" w:cs="Times New Roman" w:eastAsia="Times New Roman" w:hAnsi="Times New Roman"/>
          <w:sz w:val="18"/>
          <w:szCs w:val="18"/>
          <w:color w:val="auto"/>
        </w:rPr>
        <w:t>The change in fair value of acquisition related liabilities, which is driven by the movements in our stock price and changes in the assessed probability of achieving certain future revenue targets, was a gain of $1.4 million and a loss of $1.7 million for the three and nine months ended September 30, 2024, respectively. We will continue to review our estimates on the quarterly basis over the remaining earnout period until 2026. See Note 17 to our unaudited condensed consolidated financial statements included within this report for more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Intangibles</w:t>
      </w:r>
    </w:p>
    <w:p>
      <w:pPr>
        <w:spacing w:after="0" w:line="221" w:lineRule="exact"/>
        <w:rPr>
          <w:sz w:val="20"/>
          <w:szCs w:val="20"/>
          <w:color w:val="auto"/>
        </w:rPr>
      </w:pPr>
    </w:p>
    <w:p>
      <w:pPr>
        <w:jc w:val="both"/>
        <w:ind w:right="100" w:firstLine="318"/>
        <w:spacing w:after="0" w:line="259" w:lineRule="auto"/>
        <w:rPr>
          <w:sz w:val="20"/>
          <w:szCs w:val="20"/>
          <w:color w:val="auto"/>
        </w:rPr>
      </w:pPr>
      <w:r>
        <w:rPr>
          <w:rFonts w:ascii="Times New Roman" w:cs="Times New Roman" w:eastAsia="Times New Roman" w:hAnsi="Times New Roman"/>
          <w:sz w:val="18"/>
          <w:szCs w:val="18"/>
          <w:color w:val="auto"/>
        </w:rPr>
        <w:t>Amortization of acquired developed technology is included within cost of revenues, while the amortization of other intangible assets, including acquired customer relationships, tradename and conversation data, are included within operating expenses. All intangible assets are amortized on a straight-line basis over their estimated useful lives.</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amortization of intangible assets by operating expense category ($ in thousands):</w:t>
      </w:r>
    </w:p>
    <w:p>
      <w:pPr>
        <w:spacing w:after="0" w:line="268"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4980" w:type="dxa"/>
            <w:vAlign w:val="bottom"/>
          </w:tcPr>
          <w:p>
            <w:pPr>
              <w:spacing w:after="0"/>
              <w:rPr>
                <w:sz w:val="18"/>
                <w:szCs w:val="18"/>
                <w:color w:val="auto"/>
              </w:rPr>
            </w:pPr>
          </w:p>
        </w:tc>
        <w:tc>
          <w:tcPr>
            <w:tcW w:w="2620" w:type="dxa"/>
            <w:vAlign w:val="bottom"/>
            <w:gridSpan w:val="4"/>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3"/>
        </w:trPr>
        <w:tc>
          <w:tcPr>
            <w:tcW w:w="4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80" w:type="dxa"/>
            <w:vAlign w:val="bottom"/>
            <w:gridSpan w:val="3"/>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gridSpan w:val="3"/>
          </w:tcPr>
          <w:p>
            <w:pPr>
              <w:ind w:left="9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60" w:type="dxa"/>
            <w:vAlign w:val="bottom"/>
          </w:tcPr>
          <w:p>
            <w:pPr>
              <w:spacing w:after="0"/>
              <w:rPr>
                <w:sz w:val="20"/>
                <w:szCs w:val="20"/>
                <w:color w:val="auto"/>
              </w:rPr>
            </w:pPr>
          </w:p>
        </w:tc>
      </w:tr>
      <w:tr>
        <w:trPr>
          <w:trHeight w:val="25"/>
        </w:trPr>
        <w:tc>
          <w:tcPr>
            <w:tcW w:w="49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3"/>
        </w:trPr>
        <w:tc>
          <w:tcPr>
            <w:tcW w:w="49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
        </w:trPr>
        <w:tc>
          <w:tcPr>
            <w:tcW w:w="49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8"/>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940" w:type="dxa"/>
            <w:vAlign w:val="bottom"/>
            <w:tcBorders>
              <w:bottom w:val="single" w:sz="8" w:color="CCEEFF"/>
            </w:tcBorders>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87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4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9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5"/>
        </w:trPr>
        <w:tc>
          <w:tcPr>
            <w:tcW w:w="49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78"/>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amortization</w:t>
            </w:r>
          </w:p>
        </w:tc>
        <w:tc>
          <w:tcPr>
            <w:tcW w:w="94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5,068</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7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5,068</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4980" w:type="dxa"/>
            <w:vAlign w:val="bottom"/>
          </w:tcPr>
          <w:p>
            <w:pPr>
              <w:spacing w:after="0"/>
              <w:rPr>
                <w:sz w:val="18"/>
                <w:szCs w:val="18"/>
                <w:color w:val="auto"/>
              </w:rPr>
            </w:pPr>
          </w:p>
        </w:tc>
        <w:tc>
          <w:tcPr>
            <w:tcW w:w="2620" w:type="dxa"/>
            <w:vAlign w:val="bottom"/>
            <w:gridSpan w:val="4"/>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3"/>
        </w:trPr>
        <w:tc>
          <w:tcPr>
            <w:tcW w:w="4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80" w:type="dxa"/>
            <w:vAlign w:val="bottom"/>
            <w:gridSpan w:val="3"/>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gridSpan w:val="3"/>
          </w:tcPr>
          <w:p>
            <w:pPr>
              <w:ind w:left="9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60" w:type="dxa"/>
            <w:vAlign w:val="bottom"/>
          </w:tcPr>
          <w:p>
            <w:pPr>
              <w:spacing w:after="0"/>
              <w:rPr>
                <w:sz w:val="20"/>
                <w:szCs w:val="20"/>
                <w:color w:val="auto"/>
              </w:rPr>
            </w:pPr>
          </w:p>
        </w:tc>
      </w:tr>
      <w:tr>
        <w:trPr>
          <w:trHeight w:val="25"/>
        </w:trPr>
        <w:tc>
          <w:tcPr>
            <w:tcW w:w="49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3"/>
        </w:trPr>
        <w:tc>
          <w:tcPr>
            <w:tcW w:w="49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
        </w:trPr>
        <w:tc>
          <w:tcPr>
            <w:tcW w:w="49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8"/>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940" w:type="dxa"/>
            <w:vAlign w:val="bottom"/>
            <w:tcBorders>
              <w:bottom w:val="single" w:sz="8" w:color="CCEEFF"/>
            </w:tcBorders>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3,573</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87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3,573</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4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9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3,603</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5"/>
        </w:trPr>
        <w:tc>
          <w:tcPr>
            <w:tcW w:w="49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78"/>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amortization</w:t>
            </w:r>
          </w:p>
        </w:tc>
        <w:tc>
          <w:tcPr>
            <w:tcW w:w="94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7,176</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7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7,176</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w:t>
      </w:r>
    </w:p>
    <w:p>
      <w:pPr>
        <w:spacing w:after="0" w:line="221" w:lineRule="exact"/>
        <w:rPr>
          <w:sz w:val="20"/>
          <w:szCs w:val="20"/>
          <w:color w:val="auto"/>
        </w:rPr>
      </w:pPr>
    </w:p>
    <w:p>
      <w:pPr>
        <w:jc w:val="both"/>
        <w:ind w:right="100" w:firstLine="318"/>
        <w:spacing w:after="0" w:line="259" w:lineRule="auto"/>
        <w:rPr>
          <w:sz w:val="20"/>
          <w:szCs w:val="20"/>
          <w:color w:val="auto"/>
        </w:rPr>
      </w:pPr>
      <w:r>
        <w:rPr>
          <w:rFonts w:ascii="Times New Roman" w:cs="Times New Roman" w:eastAsia="Times New Roman" w:hAnsi="Times New Roman"/>
          <w:sz w:val="18"/>
          <w:szCs w:val="18"/>
          <w:color w:val="auto"/>
        </w:rPr>
        <w:t>There were no restructuring expenses resulting from the Restructuring Plan recorded in the three and nine months ended September 30, 2024 as the Restructuring Plan was complete as of December 31, 2023, compared to zero and $3.8 million of expenses incurred in the three and nine months ended September 30, 2023, respectively.</w:t>
      </w:r>
    </w:p>
    <w:p>
      <w:pPr>
        <w:spacing w:after="0" w:line="200" w:lineRule="exact"/>
        <w:rPr>
          <w:sz w:val="20"/>
          <w:szCs w:val="20"/>
          <w:color w:val="auto"/>
        </w:rPr>
      </w:pPr>
    </w:p>
    <w:p>
      <w:pPr>
        <w:spacing w:after="0" w:line="34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331" w:right="2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Extinguishment of Debt</w:t>
      </w:r>
    </w:p>
    <w:p>
      <w:pPr>
        <w:spacing w:after="0" w:line="22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$15.6 million increase in loss on extinguishment of debt during the nine months ended September 30, 2024 was attributable to a loss on repayment of Term Loan in June 2024. See Note 9 to our unaudited condensed consolidated financial statements included within this report for more information.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Interest expense decreased by $4.3 million, or 80% in the three months ended September 30, 2024 compared to the same period in 2023. The decrease in interest expense was primarily attributable to the early repayment of Term Loan in June, 2024, resulting in the decrease in interest expense, which was partially offset by the increased interest expense of $1.0 million from Amelia Debt in the period.</w:t>
      </w:r>
    </w:p>
    <w:p>
      <w:pPr>
        <w:spacing w:after="0" w:line="17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Interest expense decreased by $0.4 million, or 4% in the nine months ended September 30, 2024 compared to the same period in 2023. The decrease in interest expense was primarily attributable to the early repayment of Term Loan in June, 2024 and the interest expense from on our SVB March 2021 Note and SCI June 2021 Note in the nine months ended September 30, 2023, which were terminated at the time that the Term Loan was obtained in April 2023. The decrease in interest expense was partially offset by the increased interest expense of $1.0 million from Amelia Debt in the three months ended September 30, 2024. We expect interest expense will decrease as a result of the extinguishment of the Term Loan.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tables summarize our other income (expense), net, by type ($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80" w:type="dxa"/>
            <w:vAlign w:val="bottom"/>
          </w:tcPr>
          <w:p>
            <w:pPr>
              <w:spacing w:after="0"/>
              <w:rPr>
                <w:sz w:val="18"/>
                <w:szCs w:val="18"/>
                <w:color w:val="auto"/>
              </w:rPr>
            </w:pPr>
          </w:p>
        </w:tc>
        <w:tc>
          <w:tcPr>
            <w:tcW w:w="2500" w:type="dxa"/>
            <w:vAlign w:val="bottom"/>
            <w:gridSpan w:val="4"/>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3"/>
        </w:trPr>
        <w:tc>
          <w:tcPr>
            <w:tcW w:w="4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60" w:type="dxa"/>
            <w:vAlign w:val="bottom"/>
            <w:gridSpan w:val="3"/>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gridSpan w:val="3"/>
          </w:tcPr>
          <w:p>
            <w:pPr>
              <w:ind w:left="9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80" w:type="dxa"/>
            <w:vAlign w:val="bottom"/>
          </w:tcPr>
          <w:p>
            <w:pPr>
              <w:spacing w:after="0"/>
              <w:rPr>
                <w:sz w:val="20"/>
                <w:szCs w:val="20"/>
                <w:color w:val="auto"/>
              </w:rPr>
            </w:pPr>
          </w:p>
        </w:tc>
      </w:tr>
      <w:tr>
        <w:trPr>
          <w:trHeight w:val="26"/>
        </w:trPr>
        <w:tc>
          <w:tcPr>
            <w:tcW w:w="49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3"/>
        </w:trPr>
        <w:tc>
          <w:tcPr>
            <w:tcW w:w="49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
        </w:trPr>
        <w:tc>
          <w:tcPr>
            <w:tcW w:w="49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8"/>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940" w:type="dxa"/>
            <w:vAlign w:val="bottom"/>
            <w:tcBorders>
              <w:bottom w:val="single" w:sz="8" w:color="CCEEFF"/>
            </w:tcBorders>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r>
      <w:tr>
        <w:trPr>
          <w:trHeight w:val="24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change in fair value of ELOC program</w:t>
            </w:r>
          </w:p>
        </w:tc>
        <w:tc>
          <w:tcPr>
            <w:tcW w:w="940" w:type="dxa"/>
            <w:vAlign w:val="bottom"/>
          </w:tcPr>
          <w:p>
            <w:pPr>
              <w:spacing w:after="0"/>
              <w:rPr>
                <w:sz w:val="20"/>
                <w:szCs w:val="20"/>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0"/>
                <w:szCs w:val="20"/>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168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
        </w:trPr>
        <w:tc>
          <w:tcPr>
            <w:tcW w:w="4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5"/>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bargain purchase</w:t>
            </w: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181 %</w:t>
            </w:r>
          </w:p>
        </w:tc>
      </w:tr>
      <w:tr>
        <w:trPr>
          <w:trHeight w:val="25"/>
        </w:trPr>
        <w:tc>
          <w:tcPr>
            <w:tcW w:w="49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83"/>
        </w:trPr>
        <w:tc>
          <w:tcPr>
            <w:tcW w:w="4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40" w:type="dxa"/>
            <w:vAlign w:val="bottom"/>
            <w:tcBorders>
              <w:bottom w:val="single" w:sz="8" w:color="auto"/>
            </w:tcBorders>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1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80" w:type="dxa"/>
            <w:vAlign w:val="bottom"/>
          </w:tcPr>
          <w:p>
            <w:pPr>
              <w:spacing w:after="0"/>
              <w:rPr>
                <w:sz w:val="18"/>
                <w:szCs w:val="18"/>
                <w:color w:val="auto"/>
              </w:rPr>
            </w:pPr>
          </w:p>
        </w:tc>
        <w:tc>
          <w:tcPr>
            <w:tcW w:w="2460" w:type="dxa"/>
            <w:vAlign w:val="bottom"/>
            <w:gridSpan w:val="4"/>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3"/>
        </w:trPr>
        <w:tc>
          <w:tcPr>
            <w:tcW w:w="4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20" w:type="dxa"/>
            <w:vAlign w:val="bottom"/>
            <w:gridSpan w:val="3"/>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gridSpan w:val="3"/>
          </w:tcPr>
          <w:p>
            <w:pPr>
              <w:ind w:left="9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80" w:type="dxa"/>
            <w:vAlign w:val="bottom"/>
          </w:tcPr>
          <w:p>
            <w:pPr>
              <w:spacing w:after="0"/>
              <w:rPr>
                <w:sz w:val="20"/>
                <w:szCs w:val="20"/>
                <w:color w:val="auto"/>
              </w:rPr>
            </w:pPr>
          </w:p>
        </w:tc>
      </w:tr>
      <w:tr>
        <w:trPr>
          <w:trHeight w:val="25"/>
        </w:trPr>
        <w:tc>
          <w:tcPr>
            <w:tcW w:w="49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3"/>
        </w:trPr>
        <w:tc>
          <w:tcPr>
            <w:tcW w:w="49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
        </w:trPr>
        <w:tc>
          <w:tcPr>
            <w:tcW w:w="49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8"/>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940" w:type="dxa"/>
            <w:vAlign w:val="bottom"/>
            <w:tcBorders>
              <w:bottom w:val="single" w:sz="8" w:color="CCEEFF"/>
            </w:tcBorders>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6,898</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4,823</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232 %</w:t>
            </w:r>
          </w:p>
        </w:tc>
      </w:tr>
      <w:tr>
        <w:trPr>
          <w:trHeight w:val="24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change in fair value of ELOC program</w:t>
            </w:r>
          </w:p>
        </w:tc>
        <w:tc>
          <w:tcPr>
            <w:tcW w:w="940" w:type="dxa"/>
            <w:vAlign w:val="bottom"/>
          </w:tcPr>
          <w:p>
            <w:pPr>
              <w:spacing w:after="0"/>
              <w:rPr>
                <w:sz w:val="20"/>
                <w:szCs w:val="20"/>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(1,901)</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
        </w:trPr>
        <w:tc>
          <w:tcPr>
            <w:tcW w:w="4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5"/>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bargain purchase</w:t>
            </w: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r>
      <w:tr>
        <w:trPr>
          <w:trHeight w:val="25"/>
        </w:trPr>
        <w:tc>
          <w:tcPr>
            <w:tcW w:w="49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83"/>
        </w:trPr>
        <w:tc>
          <w:tcPr>
            <w:tcW w:w="4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40" w:type="dxa"/>
            <w:vAlign w:val="bottom"/>
            <w:tcBorders>
              <w:bottom w:val="single" w:sz="8" w:color="auto"/>
            </w:tcBorders>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9,087</w:t>
            </w:r>
          </w:p>
        </w:tc>
        <w:tc>
          <w:tcPr>
            <w:tcW w:w="1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9,389</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Not meaningful</w:t>
      </w:r>
    </w:p>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2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Interest income increased by $1.1 million, or 88%, and $4.8 million, or 232% in the three and nine months ended September 30, 2024 compared to the same periods in 2023. The increase was primarily attributable to interest earned on greater money market and treasury bond balances during the three and nine months ended September 30, 2024, as we engaged in significant transactions that increased our liquidity. Refer to "Liquidity and Capital Resources" for a discussion of the changes in our business that led to an increase in cash for the period ended September 30, 2024.</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Loss on Change in Fair Value of Equity Line of Credit Program</w:t>
      </w:r>
    </w:p>
    <w:p>
      <w:pPr>
        <w:spacing w:after="0" w:line="22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recorded loss on changes in the fair value of the derivative liability associated with the ELOC (as defined below) of $1.9 million for the nine months ended September 30, 2023 as other income (expense), net on our consolidated statements of operations and comprehensive loss. There was no change in fair value of the derivative liability associated with the ELOC for the nine months ended September 30, 2024 as we sold the entirety of the 25,000,000 shares under the ELOC during the year ended December 31, 2023.</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Gain on Bargain Purchase</w:t>
      </w:r>
    </w:p>
    <w:p>
      <w:pPr>
        <w:spacing w:after="0" w:line="22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gain on bargain purchase of $1.2 million was recorded within other income (expense), net in the condensed consolidated statements of operations and comprehensive loss in the nine months ended September 30, 2024 as a result of a favorable fair value of identifiable net assets acquired from an immaterial acquisition at the date of acquisition as compared with the purchase price. See Note 3 to our unaudited condensed consolidated financial statements included within this report for more information.</w:t>
      </w:r>
    </w:p>
    <w:p>
      <w:pPr>
        <w:spacing w:after="0" w:line="1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provision for income taxes ($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8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3"/>
        </w:trPr>
        <w:tc>
          <w:tcPr>
            <w:tcW w:w="4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gridSpan w:val="3"/>
          </w:tcPr>
          <w:p>
            <w:pPr>
              <w:jc w:val="center"/>
              <w:ind w:left="532"/>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80" w:type="dxa"/>
            <w:vAlign w:val="bottom"/>
          </w:tcPr>
          <w:p>
            <w:pPr>
              <w:spacing w:after="0"/>
              <w:rPr>
                <w:sz w:val="20"/>
                <w:szCs w:val="20"/>
                <w:color w:val="auto"/>
              </w:rPr>
            </w:pPr>
          </w:p>
        </w:tc>
      </w:tr>
      <w:tr>
        <w:trPr>
          <w:trHeight w:val="26"/>
        </w:trPr>
        <w:tc>
          <w:tcPr>
            <w:tcW w:w="49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3"/>
        </w:trPr>
        <w:tc>
          <w:tcPr>
            <w:tcW w:w="4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
        </w:trPr>
        <w:tc>
          <w:tcPr>
            <w:tcW w:w="49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8"/>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(10,491)  $</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(12,052)</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r>
      <w:tr>
        <w:trPr>
          <w:trHeight w:val="457"/>
        </w:trPr>
        <w:tc>
          <w:tcPr>
            <w:tcW w:w="4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8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Nine Months Ended</w:t>
            </w: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33"/>
        </w:trPr>
        <w:tc>
          <w:tcPr>
            <w:tcW w:w="4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gridSpan w:val="3"/>
          </w:tcPr>
          <w:p>
            <w:pPr>
              <w:jc w:val="center"/>
              <w:ind w:left="532"/>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80" w:type="dxa"/>
            <w:vAlign w:val="bottom"/>
          </w:tcPr>
          <w:p>
            <w:pPr>
              <w:spacing w:after="0"/>
              <w:rPr>
                <w:sz w:val="20"/>
                <w:szCs w:val="20"/>
                <w:color w:val="auto"/>
              </w:rPr>
            </w:pPr>
          </w:p>
        </w:tc>
      </w:tr>
      <w:tr>
        <w:trPr>
          <w:trHeight w:val="25"/>
        </w:trPr>
        <w:tc>
          <w:tcPr>
            <w:tcW w:w="49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3"/>
        </w:trPr>
        <w:tc>
          <w:tcPr>
            <w:tcW w:w="4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
        </w:trPr>
        <w:tc>
          <w:tcPr>
            <w:tcW w:w="49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(9,558)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(11,865)</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r>
      <w:tr>
        <w:trPr>
          <w:trHeight w:val="25"/>
        </w:trPr>
        <w:tc>
          <w:tcPr>
            <w:tcW w:w="49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19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Provision for income taxes decreased by $12.1 million, or 772%, and $11.9 million, or 514% in the three and nine months ended September 30, 2024, respectively, compared to the same periods in 2023. This decrease was primarily attributed to increased tax benefit from acquisitions.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1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Total unrestricted cash and cash equivalents on hand as of September 30, 2024 was $135.6 million. Although we have incurred recurring losses each year since our inception, we expect we will be able to fund our operations for at least the next twelve months. We believe we will meet longer-term expected future cash requirements and obligations through a combination of cash flows from operating activities and available cash balances. Our condensed consolidated financial statements have been prepared assuming that we will continue as a going concern, which contemplates, among other things, the realization of assets and satisfaction of liabilities in the normal course of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of Cash and Material Cash Requirements</w:t>
      </w:r>
    </w:p>
    <w:p>
      <w:pPr>
        <w:spacing w:after="0" w:line="21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principal sources of liquidity are our cash and cash equivalents, which are sourced primarily from the sale of marketable securities. The primary uses of cash include the funding of operating expenses, as well as acquisition related costs. There were no material changes to our material cash requirements as disclosed in our audited consolidated financial statements for the fiscal year ended December 31, 2023 in our Annual Report on Form 10-K (our “Annual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Distribution Agreement</w:t>
      </w:r>
    </w:p>
    <w:p>
      <w:pPr>
        <w:spacing w:after="0" w:line="22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entered into the Equity Distribution Agreement with the Managers on April 9, 2024 with regards to an at-the-market equity program. Under this program, we may offer and sell aggregate gross sale proceeds up to $150.0 million of shares of our Class A Common Stock from time to time through the Managers. Sales of Class A Common Stock under the Equity Distribution Agreement were made at market prices by any method that is deemed to be an “at the market offering”</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as defined in Rule 415 under the Securities Act. The Managers were entitled to commission at a fixed rate of 2.5% of the gross sales price per share for their services in acting as agents in the sale of our Class A Common Stock.</w:t>
      </w:r>
    </w:p>
    <w:p>
      <w:pPr>
        <w:spacing w:after="0" w:line="16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During the three and nine months ended September 30, 2024, we sold a total of 10,465,581 and 31,694,198 shares of our common stock under the Equity Distribution Agreement, at a weighted-average price of $4.74 and $4.73 per share, respectively, and raised $49.6 million and $150.0 million of gross proceeds, respectively. After deducting approximately $1.2 million and $3.7 million, respectively, of commissions and offering costs incurred by us, the net proceeds from sales of common stock was $48.4 million and $146.2 million, respectively during the three and nine months ended September 30, 2024. As of September 30, 2024, we had no remaining capacity to sell the common stock under the Equity Distribution Agreement.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SYNQ3 Acquisition</w:t>
      </w:r>
    </w:p>
    <w:p>
      <w:pPr>
        <w:spacing w:after="0" w:line="22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On January 3, 2024 (the "SYNQ3 Acquisition Date"), we acquired all of the issued and outstanding equity of SYNQ3, a leading provider of voice AI and other technology solutions to the restaurant industry, for total preliminary purchase consideration of $15.7 million (the “SYNQ3 Acquisition”).</w:t>
      </w:r>
    </w:p>
    <w:p>
      <w:pPr>
        <w:spacing w:after="0" w:line="190"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total preliminary purchase consideration includes $3.9 million in cash paid and 5,755,910 in shares of our Class A Common Stock issued as of the SYNQ3 Acquisition Date. We also withheld purchase consideration of $0.5 million in cash and 1,179,514 shares of our Class A Common Stock, subject to customary net working capital adjustments, to partially secure the indemnification obligations of SYNQ3's former stockholders under the merger agreement and agreed to pay up to $0.8 million in cash and 1,434,936 in shares of our Class A Common Stock to certain former stockholders of SYNQ3 based upon the achievement of specified future milestones. We also issued 2,033,156 restricted shares of our Class A Common Stock subject to time and performance-based vesting conditions.</w:t>
      </w:r>
    </w:p>
    <w:p>
      <w:pPr>
        <w:spacing w:after="0" w:line="21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incurred $1.9 million in acquisition related expenses, of which $0.5 million and $0.8 million were incurred during the three and nine months ended September 30, 2024, respectively, and recorded as general and administration expenses in its condensed consolidated statements of operations and comprehensive loss.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Holdback</w:t>
      </w:r>
    </w:p>
    <w:p>
      <w:pPr>
        <w:spacing w:after="0" w:line="24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$0.5 million in cash and 1,179,514 shares of our Class A Common Stock is being withheld for a period of 15 months (the “Holdback Amount”). We determined that there are two components to the Holdback Amount related to deferred consideration and contingent consideration, each comprised of cash and shares.</w:t>
      </w:r>
    </w:p>
    <w:p>
      <w:pPr>
        <w:spacing w:after="0" w:line="191" w:lineRule="exact"/>
        <w:rPr>
          <w:sz w:val="20"/>
          <w:szCs w:val="20"/>
          <w:color w:val="auto"/>
        </w:rPr>
      </w:pPr>
    </w:p>
    <w:p>
      <w:pPr>
        <w:ind w:right="60" w:firstLine="318"/>
        <w:spacing w:after="0" w:line="244" w:lineRule="auto"/>
        <w:rPr>
          <w:sz w:val="20"/>
          <w:szCs w:val="20"/>
          <w:color w:val="auto"/>
        </w:rPr>
      </w:pPr>
      <w:r>
        <w:rPr>
          <w:rFonts w:ascii="Times New Roman" w:cs="Times New Roman" w:eastAsia="Times New Roman" w:hAnsi="Times New Roman"/>
          <w:sz w:val="18"/>
          <w:szCs w:val="18"/>
          <w:color w:val="auto"/>
        </w:rPr>
        <w:t>The deferred cash holdback consideration of $0.1 million and the deferred share holdback consideration of 361,145 shares of our Class A Common Stock (collectively, the “Deferred Consideration”) were not recognized as of the SYNQ3 Acquisition Date as such amounts were offset by the indemnification obligations of SYNQ3's former stockholders.</w:t>
      </w:r>
    </w:p>
    <w:p>
      <w:pPr>
        <w:spacing w:after="0" w:line="217"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The contingent cash and share holdback consideration to be issued is variable (“Contingent Holdback Consideration”). Final amounts to be issued will be reduced based upon future actions and settlements with third parties to resolve assumed contingent sales tax liabilities and certain other assumed contingent liabilities of SYNQ3 in connection with the SYNQ3 Acquisition. We accounted for the Contingent Holdback Consideration as a liability on the condensed consolidated balance sheet. As of the SYNQ3 Acquisition Date, the Contingent Holdback Consideration was estimated to be $0.4 million in aggregate and to be settled in $0.1 million cash and the remainder in shares of our Class A Common Stock. During the three months ended September 30, 2024, we issued 38,277 shares of the Company’s Class A Common Stock and paid an immaterial amount in cash from the Contingent Holdback Consideration to SYNQ3's former stockholders as a result of the net working capital adjustments settled during the quarter. The Contingent Holdback Consideration will be subsequently remeasured at each reporting date with changes in fair value recognized as a component of operating expense on our condensed consolidated statement of operations and comprehensive loss. For the three and nine months ended September 30, 2024, we recognized a loss of $0.2 million and $0.5 million, respectively, related to the Contingent Holdback Consideration.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SYNQ3 Earnout Consideration</w:t>
      </w:r>
    </w:p>
    <w:p>
      <w:pPr>
        <w:spacing w:after="0" w:line="21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also agreed to pay in aggregate up to $0.8 million in cash and 1,434,936 in shares of Class A Common Stock, to certain stockholders of SYNQ3 based on tiered annual revenue targets for each fiscal year 2024, 2025 and 2026 (the “Contingent SYNQ3 Earnout Consideration”). We accounted for the Contingent SYNQ3 Earnout Consideration as a</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liability within contingent acquisition liabilities on our condensed consolidated balance sheets and will subsequently remeasure the liability at each reporting date with changes in fair value recognized as a component of operating expense in our condensed consolidated statement of operations and comprehensive loss. As of the SYNQ3 Acquisition Date, the Contingent SYNQ3 Earnout Consideration was estimated to be $1.7 million in aggregate and to be settled in $0.2 million cash and the remainder in shares of our Class A Common Stock. For the three and nine months ended September 30, 2024, we recognized a gain of $1.5 million and a loss of $1.2 million, respectively, related to the Contingent SYNQ3 Earnout Consideration, reflected in the change in fair value of contingent acquisition liabilities in the condensed consolidated statement of operations and comprehensive loss.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awards</w:t>
      </w:r>
    </w:p>
    <w:p>
      <w:pPr>
        <w:spacing w:after="0" w:line="21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2,033,156 restricted shares of our Class A Common Stock issued at the SYNQ3 Acquisition Date to certain continuing employees of SYNQ3 subject to time and performance-based vesting conditions was determined to be a separate transaction from the SYNQ3 Acquisition and therefore is excluded from purchase consideration.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a condition of the SYNQ3 Acquisition, we additionally granted certain employees awards with future vesting conditions. As a result, we determined that these awards should be accounted for separately from the SYNQ3 Acquisition and therefore are excluded from purchase consideration.</w:t>
      </w:r>
    </w:p>
    <w:p>
      <w:pPr>
        <w:spacing w:after="0" w:line="163"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During the nine months ended September 30, 2024, we recorded measurement period adjustments to decrease the deferred revenue by $0.1 million as the revenue recognition criteria had been met at the acquisition date, to increase the accrued litigation liabilities by $1.9 million resulting from a pre-acquisition legal contingency, and to decrease the deferred tax liabilities assumed by $0.2 million. Refer to Note 7 to these condensed consolidated financial statements for more information on the loss contingencies. These measurement period adjustments resulted in a decrease of $0.1 million in deferred cash consideration, $0.6 million in deferred equity consideration, and $0.6 million in contingent holdback consideration in accordance with the merger agreement. As a result of the adjusted acquisition-date fair value of assets acquired and liabilities assumed, we booked an increase of $0.3 million to the goodwill recognized. The measurement period adjustments were recorded in the consolidated financial statements as of and for the nine months ended September 30, 2024 and was made to reflect facts and circumstances that existed as of the SYNQ3 Acquisition Date.</w:t>
      </w:r>
    </w:p>
    <w:p>
      <w:pPr>
        <w:spacing w:after="0" w:line="21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preliminary purchase price allocation has not been finalized as of September 30, 2024 primarily due to the final assessment of the fair values of the intangible assets, contingent sales tax liability assumed and fair value of the contingent acquisition liabilities. The fair value estimates of assets acquired and liabilities assumed is pending the completion of various items, including obtaining further information regarding the identification and valuation of all assets acquired and liabilities assumed, such as the contingent liabilities accrued for a pre-acquisition legal contingency. See Note 7 to our unaudited condensed consolidated financial statements included within this report for more information. Any adjustments to the estimates of purchase price allocation will be made in the periods in which the adjustments are determined, and the cumulative effect of such adjustments will be calculated as if the adjustments had been completed as of the acquisition date. We expect to finalize the purchase price allocation within 12 months from the SYNQ3 Acquisition Date.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Amelia Acquisition</w:t>
      </w:r>
    </w:p>
    <w:p>
      <w:pPr>
        <w:spacing w:after="0" w:line="22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August 6, 2024 (the “Amelia Acquisition Date”), we completed the acquisition of Amelia Holdings, Inc. (the “Amelia Acquisition”), a privately-held conversational AI software company involved in the development and delivery of AI and automation solutions and related services to improve customer experience and optimize business outcomes.</w:t>
      </w:r>
    </w:p>
    <w:p>
      <w:pPr>
        <w:spacing w:after="0" w:line="191" w:lineRule="exact"/>
        <w:rPr>
          <w:sz w:val="20"/>
          <w:szCs w:val="20"/>
          <w:color w:val="auto"/>
        </w:rPr>
      </w:pPr>
    </w:p>
    <w:p>
      <w:pPr>
        <w:jc w:val="both"/>
        <w:ind w:firstLine="318"/>
        <w:spacing w:after="0" w:line="238" w:lineRule="auto"/>
        <w:rPr>
          <w:sz w:val="20"/>
          <w:szCs w:val="20"/>
          <w:color w:val="auto"/>
        </w:rPr>
      </w:pPr>
      <w:r>
        <w:rPr>
          <w:rFonts w:ascii="Times New Roman" w:cs="Times New Roman" w:eastAsia="Times New Roman" w:hAnsi="Times New Roman"/>
          <w:sz w:val="18"/>
          <w:szCs w:val="18"/>
          <w:color w:val="auto"/>
        </w:rPr>
        <w:t>On the Amelia Acquisition Date, we issued a total of 3,809,520 shares of the SoundHound Class A common stock to the sellers. Pursuant to the terms of the Purchase Agreement, we also issued and deposited 2,149,530 shares of the SoundHound Class A common stock into an escrow account in order to partially secure the indemnification obligations of the selling shareholders under the Purchase Agreement. We also paid $8.4 million of cash for seller transaction expenses in connection with the closing of the Amelia Acquisition. We agreed to issue up to 16,822,429 shares to the selling shareholders based on achievement of certain revenue targets in fiscal years 2025 and 2026. The fair value of the preliminary purchase consideration was $103.9 million.</w:t>
      </w:r>
    </w:p>
    <w:p>
      <w:pPr>
        <w:spacing w:after="0" w:line="206" w:lineRule="exact"/>
        <w:rPr>
          <w:sz w:val="20"/>
          <w:szCs w:val="20"/>
          <w:color w:val="auto"/>
        </w:rPr>
      </w:pPr>
    </w:p>
    <w:p>
      <w:pPr>
        <w:jc w:val="both"/>
        <w:ind w:firstLine="318"/>
        <w:spacing w:after="0" w:line="237" w:lineRule="auto"/>
        <w:rPr>
          <w:sz w:val="20"/>
          <w:szCs w:val="20"/>
          <w:color w:val="auto"/>
        </w:rPr>
      </w:pPr>
      <w:r>
        <w:rPr>
          <w:rFonts w:ascii="Times New Roman" w:cs="Times New Roman" w:eastAsia="Times New Roman" w:hAnsi="Times New Roman"/>
          <w:sz w:val="18"/>
          <w:szCs w:val="18"/>
          <w:color w:val="auto"/>
        </w:rPr>
        <w:t>In connection with the Amelia Acquisition, we assumed the amended senior secured term loan facility from Amelia in an aggregate principal amount of $121.5 million (“Amelia Debt”). See Note 9 to our unaudited condensed consolidated financial statements included within this report for more information on the Amelia Debt.</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Escrow Consideration</w:t>
      </w:r>
    </w:p>
    <w:p>
      <w:pPr>
        <w:spacing w:after="0" w:line="219"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On the Amelia acquisition Date, we issued and deposited 2,149,530 shares of the Company’s Class A Common Stock into and escrow account in order to partially secure the indemnification obligations of the selling shareholders under the purchase agreement. The Company accounted for the Escrow Consideration as equity issued as part of consideration transferred. Upon the settlement of any valid indemnification claims against the sellers, the escrow agent will return a number of shares to us equal to the dollar value of the indemnified loss divided by the reference price of $5.35 as stipulated in the purchase agreement. We concluded that this variability in settlement value is a derivative that is requirement to be remeasured to fair value due to changes in stock price. This derivative did not have a material impact to the financial statements for the three and nine months ended September 30, 2024. Upon the expiration of the escrow period, any remaining shares in the escrow account will be released to the selling shareholders.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Amelia Earnout Consideration</w:t>
      </w:r>
    </w:p>
    <w:p>
      <w:pPr>
        <w:spacing w:after="0" w:line="206"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agreed to pay up to 16,822,429 in shares of Class A Common Stock to the selling shareholders based on achievement of certain revenue targets in fiscal years 2025 and 2026 (the “Contingent Amelia Earnout Consideration”). We accounted for the Contingent Amelia Earnout Consideration as a liability within contingent acquisition liabilities on the our condensed consolidated balance sheet and will subsequently remeasure the liability at each reporting date with changes in fair value recognized as a component of operating expense in our condensed consolidated statement of operations and comprehensive loss. As of the Amelia Acquisition Date, the Contingent Amelia Earnout Consideration had an estimated fair value of $71.6 million and will be settled in shares of our Class A Common Stock. For the three and nine months ended September 30, 2024, we recognized a $0.5 million loss related to the Contingent Amelia Earnout Consideration, reflected in the change in fair value of contingent acquisition liabilities in the condensed consolidated statement of operations and comprehensive loss. See Note 17 to our unaudited condensed consolidated financial statements included within this report for more information on the fair value measurement of Contingent Amalia Earnout Consideration.</w:t>
      </w:r>
    </w:p>
    <w:p>
      <w:pPr>
        <w:spacing w:after="0" w:line="18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preliminary purchase price allocation has not been finalized as of September 30, 2024 primarily due to the final assessment of the fair values of the intangible assets, contingent tax liability assumed and fair value of the contingent acquisition liabilities. The fair value estimates of assets acquired and liabilities assumed is pending the completion of various items, including obtaining further information regarding the identification and valuation of all assets acquired and liabilities assumed. Any adjustments to the estimates of purchase price allocation will be made in the periods in which the adjustments are determined, and the cumulative effect of such adjustments will be calculated as if the adjustments had been completed as of the acquisition date. We expect to finalize the purchase price allocation within 12 months from the Amelia Acquisition Date.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Acquisition</w:t>
      </w:r>
    </w:p>
    <w:p>
      <w:pPr>
        <w:spacing w:after="0" w:line="22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On June 14, 2024, we completed an immaterial acquisition for total preliminary purchase consideration of $1.0 million. As part of the acquisition, we acquired net assets of $2.2 million, including intangible assets of $2.6 million, and recognized a preliminary gain on bargain purchase of $1.2 million within other income (expense), net in the condensed consolidated statements of operations and comprehensive loss during the nine months ended September 30, 2024, resulting from a favorable fair value of identifiable net assets acquired at the date of acquisition as compared with the purchase price. We were able to negotiate a bargain purchase price as a result of the recurring losses and pre-filing bankruptcy status of the selling entity.</w:t>
      </w:r>
    </w:p>
    <w:p>
      <w:pPr>
        <w:spacing w:after="0" w:line="18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preliminary purchase price allocation has not been finalized as of September 30, 2024 primarily due to the final assessment of the fair values of the intangible assets. The fair value estimates of assets acquired and liabilities assumed is pending the completion of various items, including obtaining further information regarding the identification and valuation of all assets acquired and liabilities assumed. Any adjustments to the estimates of purchase price allocation will be made in the periods in which the adjustments are determined, and the cumulative effect of such adjustments will be calculated as if</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adjustments had been completed as of the acquisition date. We expect to finalize the purchase price allocation within 12 months from the acquisition date.</w:t>
      </w:r>
    </w:p>
    <w:p>
      <w:pPr>
        <w:spacing w:after="0" w:line="22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incurred $0.1 million in acquisition related expenses, of which zero and $0.1 million were incurred during the three and nine months ended September 30, 2024, respectively, and recorded as general and administration expenses in its condensed consolidated statements of operations and comprehensive loss.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Agreement</w:t>
      </w:r>
    </w:p>
    <w:p>
      <w:pPr>
        <w:spacing w:after="0" w:line="221"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On July 28, 2023, we entered into the Sales Agreement with Cantor Fitzgerald &amp; Co., H.C. Wainwright &amp; Co., LLC, and D.A. Davidson &amp; Co. (each a “Sales Agent” and collectively, the “Sales Agents”), pursuant to which we may offer and sell up to $150.0 million of shares of our Class A Common Stock from time to time through or to the Sales Agents acting as agent or principal. Sales of our Class A Common Stock, if any, under the Sales Agreement were made at market prices by any method that is deemed to be an “at the market offering” as defined in Rule 415 under the Securities Act. The Sales Agents are entitled to aggregate compensation at a fixed commission rate of 2.5% of the gross sales price per share sold under the Sales Agreement. We have agreed to reimburse the Sales Agents for certain specified expenses, including the reasonable and documented fees and disbursements of its legal counsel in an amount of $75 thousand in the aggregate in connection with the execution of the Sales Agreement.</w:t>
      </w:r>
    </w:p>
    <w:p>
      <w:pPr>
        <w:spacing w:after="0" w:line="18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During the nine months ended September 30, 2024, we sold a total of 37,907,219 shares of our common stock under the Sales Agreement at a weighted-average price of $3.62 per share and raised $137.3 million of gross proceeds, which resulted in complete utilization of the Sales Agreement as of March 31, 2024. After deducting approximately $3.4 million of commissions and offering costs incurred by us, the net proceeds from sales of common stock was $133.8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Financing</w:t>
      </w:r>
    </w:p>
    <w:p>
      <w:pPr>
        <w:spacing w:after="0" w:line="22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On April 14, 2023 (the “Term Loan Closing Date”), we entered into a Senior Secured Term Loan Credit Agreement (the “Credit Agreement”) with ACP Post Oak Credit II LLC, as Administrative Agent and Collateral Agent for the Lenders (the “Agent”), and the lenders from time to time party thereto (the “Lenders”). The Credit Agreement provides for a term loan facility in an aggregate principal amount of up to $100.0 million, the entirety of which was funded on the Term Loan Closing Date.</w:t>
      </w:r>
    </w:p>
    <w:p>
      <w:pPr>
        <w:spacing w:after="0" w:line="18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As of June 30, 2024, the interest rate was approximately 14.0%. Subject to certain exceptions as set forth in the Credit Agreement, interest on the Term Loan is payable quarterly in arrears on the last business day of each fiscal quarter. The Term Loan is set to mature on April 14, 2027 (the “Maturity Date”). The Credit Agreement provides for no scheduled principal payments prior to the Maturity Date. Refer to Note 9 of the unaudited condensed consolidated financial statements for further information regarding the Credit Agreement, and amortization of the debt issuance cost and debt discount.</w:t>
      </w:r>
    </w:p>
    <w:p>
      <w:pPr>
        <w:spacing w:after="0" w:line="18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On June 7, 2024, the Company entered into a letter agreement (the “Payoff Letter”) to prepay in full all indebtedness and other amounts outstanding and owing under the Credit Agreement. In connection with the Term Loan prepayment, the Company paid a total of $105.6 million on June 7, 2024, which consisted of (i) the remaining principal amount outstanding of $100.0 million, (ii) a prepayment premium of $5.0 million, (iii) transaction expenses of $0.6 million, resulting in a loss on debt extinguishment of $15.6 million. Accordingly, the accrued and unpaid interest of $2.6 million was waived under the Payoff Letter.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Amelia Debt</w:t>
      </w:r>
    </w:p>
    <w:p>
      <w:pPr>
        <w:spacing w:after="0" w:line="22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connection with the Amelia Acquisition, we assumed the amended senior secured term loan facility from Amelia in an aggregate principal amount of $121.5 million (“Amelia Debt”) and on August 7, 2024, we paid $70.0 million in cash to pay down a portion of the outstanding principal balance and issued 2,943,917 shares of Class A common stock to settle certain fees associated with the Amelia Debt. The remaining outstanding balance of $39.7 million has a maturity date of June 30, 2026 (the “Maturity Date”) and provides, at our election, for payment of a portion of interest in cash or in kind ("PIK"), in which case interest will be capitalized and added to the outstanding principal amount, with principal and</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accrued interest due at the Maturity Date. Refer to Note 9 of the unaudited condensed consolidated financial statements for further information regarding the Amelia Debt.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Line of Credit (ELOC)</w:t>
      </w:r>
    </w:p>
    <w:p>
      <w:pPr>
        <w:spacing w:after="0" w:line="22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On August 16, 2022, we entered into a common stock purchase agreement (the “Common Stock Purchase Agreement”) and related registration rights agreement (the “CFPI Registration Rights Agreement”) with CF Principal Investments LLC (the “Counterparty”). Pursuant to the Common Stock Purchase Agreement, we have the right to sell to the Counterparty up to the lesser of (i) 25,000,000 shares of Class A Common Stock and (ii) the Exchange Cap (as defined in the Common Stock Purchase Agreement), subject to certain limitations and conditions set forth in the Common Stock Purchase Agreement (the "ELOC Shares"). On February 14, 2023, our Registration Statement on Form S-1 registering the resale of the ELOC Shares (the "ELOC Registration Statement") was declared effective. On March 31, 2023, a post-effective amendment to the ELOC Registration Statement was declared effective. We have utilized and expect to continue to utilize proceeds from the ELOC for working capital and other general corporate purposes. During the year ended December 31, 2023, we sold the entirety of the 25,000,000 shares under the ELOC program for aggregate proceeds of approximately $71.7 million.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A Preferred Stock</w:t>
      </w:r>
    </w:p>
    <w:p>
      <w:pPr>
        <w:spacing w:after="0" w:line="22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or around January 20, 2023, we entered into Preferred Stock Purchase Agreements with certain investors (the "Investors"), pursuant to which we issued and sold to the Investors an aggregate of 835,011 shares of our newly designated Series A Convertible Preferred Stock for an aggregate issue price of approximately $25.0 million.</w:t>
      </w:r>
    </w:p>
    <w:p>
      <w:pPr>
        <w:spacing w:after="0" w:line="17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Each share of Series A Preferred Stock is convertible, at the option of the holder, into such number of shares of Class A Common Stock equal to the liquidation preference per share ("Liquidation Preference") at the time of conversion divided by $1.00 (the “Conversion Price”). In addition, each share of Series A Preferred Stock will automatically convert into shares of Class A Common Stock at the Conversion Price on or after January 20, 2024 if and when the daily volume-weighted average closing price per share of Class A Common Stock is at least 2.5 times the Conversion Price for each of any 90 trading days during any 120 consecutive trading day period, which 120-trading day period may commence (but may not end) prior to January 20, 2024. During the nine months ended September 30, 2024, 475,005 shares of preferred stock were converted into 16,624,215 shares of Class A Common Stock. The conversion was pursuant to the original terms of the agreement and therefore the carrying value of Series A Preferred Stock was converted into Class A Common Stock with no gain or loss upon conversion.</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September 30, 2024, all the Series A Preferred Stock have been converted to Class A Common Stock.</w:t>
      </w:r>
    </w:p>
    <w:p>
      <w:pPr>
        <w:spacing w:after="0" w:line="21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holders of Series A Preferred Stock were entitled to cumulative dividends payable for such share at the rate of 14% per annum, compounding semi-annually to Liquidation Preference on January 1 and July 1 of each year. Total cumulative dividends attributable to Series A Preferred Stock for the the three and nine months ended September 30, 2024 were zero and $0.4 million,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and Other Obligations</w:t>
      </w:r>
    </w:p>
    <w:p>
      <w:pPr>
        <w:spacing w:after="0" w:line="22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Because we expect to continue investing in software application and development, we enter into various contracts and agreements to increase our availability of capital. Cash that is received through these obligations is used to meet both short and long-term liquidity requirements as discussed above. These requirements generally include funding for the research and development of software, the development of applications that enable voice interaction, marketing programs and personnel-related costs. The primary types of obligations into which we enter include contractual obligations, operating and finance lease obligations and a diversified spread of debt instruments. Refer to Note 7 and Note 9 to the unaudited condensed consolidated financial statements for more information.</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24"/>
        </w:trPr>
        <w:tc>
          <w:tcPr>
            <w:tcW w:w="8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following table summarizes our cash flows ($ in thousands):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56"/>
        </w:trPr>
        <w:tc>
          <w:tcPr>
            <w:tcW w:w="8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20" w:type="dxa"/>
            <w:vAlign w:val="bottom"/>
            <w:gridSpan w:val="4"/>
          </w:tcPr>
          <w:p>
            <w:pPr>
              <w:jc w:val="right"/>
              <w:ind w:right="692"/>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3"/>
        </w:trPr>
        <w:tc>
          <w:tcPr>
            <w:tcW w:w="8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Pr>
          <w:p>
            <w:pPr>
              <w:spacing w:after="0"/>
              <w:rPr>
                <w:sz w:val="20"/>
                <w:szCs w:val="20"/>
                <w:color w:val="auto"/>
              </w:rPr>
            </w:pPr>
          </w:p>
        </w:tc>
      </w:tr>
      <w:tr>
        <w:trPr>
          <w:trHeight w:val="25"/>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3"/>
        </w:trPr>
        <w:tc>
          <w:tcPr>
            <w:tcW w:w="8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6"/>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(75,755)</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(54,395)</w:t>
            </w:r>
          </w:p>
        </w:tc>
      </w:tr>
      <w:tr>
        <w:trPr>
          <w:trHeight w:val="24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r>
      <w:tr>
        <w:trPr>
          <w:trHeight w:val="25"/>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115,445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155,175</w:t>
            </w:r>
          </w:p>
        </w:tc>
      </w:tr>
      <w:tr>
        <w:trPr>
          <w:trHeight w:val="24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Effects of exchange rate changes on cash</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 equivalents</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27,382</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100,446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in Operating Activities</w:t>
      </w:r>
    </w:p>
    <w:p>
      <w:pPr>
        <w:spacing w:after="0" w:line="219"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7"/>
          <w:szCs w:val="17"/>
          <w:color w:val="auto"/>
        </w:rPr>
        <w:t>Net cash used in operating activities was $75.8 million during the nine months ended September 30, 2024 compared to $54.4 million during the nine months ended September 30, 2023. The $21.4 million increase in cash used in operating activities was primarily due to our increased net loss of $21.1 million, an increase in deferred income taxes of $11.5 million resulting from the tax benefit from acquisitions, a net decrease in changes in operating assets and liabilities of $10.3 million, a decrease in amortization of debt issuance cost of $2.0 million, a decrease in loss on change in fair value of ELOC program of $1.9 million, and a decrease in non-cash lease amortization of $0.2 million, an increase in foreign currency gain from remeasurement of $0.1 million, and a net increase in other non-cash loss of $0.4 million. This was partially offset by an increase of $14.8 million in loss on early extinguishment of debt, $6.2 million in depreciation and amortization, $2.7 million in stock-based compensation, and $1.7 million in change in the fair value of contingent acquisition liabilities.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in Investing Activities</w:t>
      </w:r>
    </w:p>
    <w:p>
      <w:pPr>
        <w:spacing w:after="0" w:line="21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Net cash used in investing activities was $12.3 million during the nine months ended September 30, 2024 compared to $0.3 million during the nine months ended September 30, 2023. The $12.0 million increase in cash used in investing activities was primarily driven by the payments related to acquisitions of $11.7 million and an increase in purchases of property and equipment of $0.2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Provided by Financing Activities</w:t>
      </w:r>
    </w:p>
    <w:p>
      <w:pPr>
        <w:spacing w:after="0" w:line="219"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Net cash provided by financing activities was $115.4 million during the nine months ended September 30, 2024 compared to $155.2 million during the nine months ended September 30, 2023. The $39.7 million decrease in cash provided by financing activities was primarily due to the $175.6 million of the repayment of Term Loan during the nine months ended September 30, 2024 compared to the $35.0 million of the repayment of SVB March 2021 Note and the SCI June 2021 Note during the nine months ended September 30, 2023. The decrease was partially offset by $287.3 million in net proceeds from sales of Class A Common Stock under the Sales Agreement during the nine months ended September 30, 2024 compared to $71.5 million in net proceeds from sales of Class A Common Stock under the ELOC program during the nine months ended September 30, 2023. In addition, we experienced a decrease of $24.9 million in net proceeds from the one-time issuance of Series A Preferred Stock, $85.1 million in net proceeds from the issuance of Term Loan, and an increase of $7.2 million in the payment of financing costs associated with the Sales Agreement, an increase of $2.2 million in proceeds from exercise of stock options and employee stock purchase plan during the nine months ended September 30,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in the rules and regulations of the SEC.</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enter into standard indemnification arrangements in the ordinary course of business. Pursuant to these arrangements, we indemnify, hold harmless and agree to reimburse the indemnified parties for losses suffered or incurred</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by the indemnified party,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we could be required to make under these arrangements is not determinable. Additionally, we have, and may in the future, indemnify third parties in connection with our issuance of securities (including pursuant to our at-the-market offering program) and in connection with acquisitions of other companies. Our liability is generally limited to the aggregate amount of consideration actually received in these instances. We have never incurred costs to defend lawsuits or settle claims related to these indemnification agreements. As a result, we believe the fair value of these agreements is minimal.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Management Estimates</w:t>
      </w:r>
    </w:p>
    <w:p>
      <w:pPr>
        <w:spacing w:after="0" w:line="219"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unaudited condensed consolidated financial statements included elsewhere in this report that have been prepared in accordance with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income (loss)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spacing w:after="0" w:line="18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For a discussion of our critical accounting policies, see “Management’s discussion and analysis of financial condition and results of operations” and the notes to the condensed consolidated financial statements included in our Form 10-K, which was filed with the SEC on March 1, 2024. We have identified and disclosed new significant accounting policies related to the current period that we determined were critical accounting policies below.</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 and Contingent Consideration</w:t>
      </w:r>
    </w:p>
    <w:p>
      <w:pPr>
        <w:spacing w:after="0" w:line="221"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Business combinations are accounted for using the acquisition method. We allocate the fair value of the purchase price of an acquisition to the assets acquired and liabilities assumed, based on their estimated fair values as of the date of acquisition. The excess of the fair value of the purchase price over the fair values of these net tangible and intangible assets acquired is recorded as goodwill. Management’s estimates of fair value are based upon assumptions believed to be reasonable, but the estimates and assumptions are inherently uncertain and subject to refinement. The estimates and assumptions used in valuing intangible assets include, but are not limited to, the amount and timing of projected future cash flows and discount rate used to determine the present value of these cash flows and asset lives. These estimates are inherently uncertain and, therefore, actual results may differ from the estimates made. As a result, during the measurement period of up to one year from the acquisition date, we may make adjustments to the assets acquired and liabilities assumed with the corresponding offset to goodwill. Upon the measurement period's conclusion or final determination of the fair value of the purchase price of an acquisition, whichever comes first, any subsequent adjustments are recorded to our condensed consolidated statements of operations. Acquisition-related expenses are recognized separately from the business combination and expensed as incurred.</w:t>
      </w:r>
    </w:p>
    <w:p>
      <w:pPr>
        <w:spacing w:after="0" w:line="193"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Certain business combinations include contingent consideration arrangements, which are generally based on achievement of future financial performance or future events. If it is determined the contingent consideration arrangement is not compensatory, we estimate fair value of contingent consideration payments as part of the initial purchase price and record the estimated fair value of contingent consideration as a liability in the condensed consolidated balance sheet. We review and assess the estimated fair value of contingent consideration each reporting period, and the updated fair value could differ materially from the initial estimates. Adjustments to estimated fair value related to changes in fair value are reported as change in fair value of contingent acquisition liabilities in our condensed consolidated statements of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Goodwill represents the excess of the purchase price in a business combination over the fair value of net assets acquired. Goodwill is not amortized but tested annually for impairment or when indicators of impairment are present. The test for goodwill impairment involves a qualitative assessment of impairment indicators. If indicators are present, a quantitative test of impairment is performed. Goodwill impairment, if any, is determined by comparing the reporting unit’s fair value to its carrying value. An impairment loss is recognized in an amount equal to the excess of the reporting unit’s carrying value over its fair value, up to the amount of goodwill allocated to the reporting unit. Our policy is to review</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goodwill for impairment annually on October 1st unless a triggering event requires an analysis sooner. There was no goodwill impairment for the three and nine months ended September 30, 2024.</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with Definite Lives</w:t>
      </w:r>
    </w:p>
    <w:p>
      <w:pPr>
        <w:spacing w:after="0" w:line="22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intangible assets consist principally of developed technology, customer relationships, tradename, and conversation data. We assess the appropriate method of amortization of the intangible assets that reflects the pattern in which the economic benefits of the intangible assets are consumed. We determined that a straight-line method of amortization was appropriate for its intangible assets. The remaining useful lives of long-lived assets are re-assessed periodically at the asset group level for any events and circumstances that may change the future cash flows expected to be generated from the long-lived asset or asset group.</w:t>
      </w:r>
    </w:p>
    <w:p>
      <w:pPr>
        <w:spacing w:after="0" w:line="18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Intangible assets with definite lives are tested for impairment whenever events or changes in circumstances indicate the carrying value of a specific asset or asset group may not be recoverable. We assess the recoverability of intangible assets with definite lives at the asset group level. Asset groups are determined based upon the lowest level for which identifiable cash flows are largely independent of the cash flows of other assets and liabilities. For the purpose of the recoverability test, we compare the total undiscounted future cash flows from the use and disposition of the assets with its net carrying amount. When the carrying value of the asset group exceeds the undiscounted future cash flows, the asset group is deemed to be impaired. The amount of the impairment loss represents the excess of the asset or asset group’s carrying value over its estimated fair value, which is generally determined based upon the present value of estimated future pre-tax cash flows that a market participant would expect from use and disposition of the long-lived asset or asset group. There were no intangible asset impairments in any of the periods presented.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There have been no material changes in market risks from the information presented in Part II, Item 7A. “Quantitative and Qualitative Disclosures About Market Risk” in our Form 10-K, except as disclosed below.</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have exposure to interest rate risk, primarily in the form of variable-rate borrowings. Refer to "Liquidity and Capital Resources" in "Item 7.</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p>
      <w:pPr>
        <w:spacing w:after="0" w:line="19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of September 30, 2024, the Company had total borrowings of $39.7 million outstanding with an interest rate of 14.47%. With all other variables remaining constant, an increase in the short-term interest rate of 1 percent would result in an increase in the annual interest expense of approximately $0.4 million. Refer to Note 9: Note Payable for additional information related to the Company’s debt.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Risk</w:t>
      </w:r>
    </w:p>
    <w:p>
      <w:pPr>
        <w:spacing w:after="0" w:line="22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condensed consolidated financial statements are presented in U.S. dollars, which is also the functional currency for our foreign operations. Where transactions may be denominated in foreign currencies, we are subject to market risk with respect to fluctuations in the relative value of currencies. During the three and nine months ended September 30, 2024, we recorded the exchange rate losses of approximately $0.1 million and $0.5 million, respectively. During the three and nine months ended September 30, 2023, we recorded exchange rate losses of approximately $0.3 million and $0.5 million, respectively. We do not believe that an immediate 10% increase or decrease in the relative value of the U.S. dollar to other currencies would have a material effect on operating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1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Chief Executive Officer and Chief Finance Officer, as appropriate to allow timely decisions regarding required disclosure.</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Finance Officer, we conducted an evaluation of the effectiveness of our disclosure controls and procedures (as such term is defined in Rules 13a-15(e) and 15d-15(e) under the Exchange Act) as of and for the nine months ended September 30, 2024. Based on this evaluation, our Chief Executive Officer and Chief Finance Officer have concluded that our disclosure controls and procedures were not effective due to the material weaknesses in its internal control over financial reporting, which were previously identified and reported in our 2023 Form 10-K as part of Management's report on Internal Control over Financial Reporting for the year ended December 31, 2023. The elements of our remediation plan can only be accomplished over time. As a result, we performed additional analysis as deemed necessary to ensure that our condensed financial statements were prepared in accordance with U.S. generally accepted accounting principles. Accordingly, management believes that the condensed financial statements included in the Quarterly Report present fairly, in all material respects, our financial position, results of operations and cash flows for the periods presented.</w:t>
      </w:r>
    </w:p>
    <w:p>
      <w:pPr>
        <w:spacing w:after="0" w:line="187"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In accordance with the Compliance and Disclosure Interpretations issued by SEC staff, companies are allowed to exclude acquired businesses from the assessment of internal control over financial reporting during the first year after completion of an acquisition and from the assessment of disclosure controls and procedures that are subsumed in the internal control over financial reporting. Based on this guidance, our assessment of the effectiveness of the Company’s disclosure controls and procedures as of September 30, 2024 excluded the portion of disclosure controls and procedures that are subsumed by internal control over financial reporting of acquired entities. The Company completed the acquisition of SYNQ3 on January 3, 2024. SYNQ3’s total assets represented approximately 5% of the Company's consolidated total assets, excluding the effects of purchase accounting, and its revenues represented approximately 11% and 18%, respectively, of the Company's consolidated total revenues for the three and nine months ended September 30, 2024. The Company completed the acquisition of Amelia on August 6, 2024. Amelia’s total assets represented approximately 26% of the Company's consolidated total assets, excluding the effects of purchase accounting, and its revenues represented approximately 62% and 31%, respectively, of the Company's consolidated total revenues for the three and nine months ended September 30, 2024. The Company completed an immaterial acquisition on June 14, 2024. Total assets, excluding the effects of purchase accounting, and revenue from the acquired entity were not material to the Company's unaudited condensed consolidated financial statements as of and for the three and nine months ended September 30,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Previously Reported Material Weaknesses</w:t>
      </w:r>
    </w:p>
    <w:p>
      <w:pPr>
        <w:spacing w:after="0" w:line="219"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As reported in Part II, Item 9A. "Controls and Procedures" of our Form 10-K, we previously identified material weaknesses in our internal control over financial reporting related to the control environment as the Company lacked sufficient oversight of activities related to its internal control over financial reporting due to a lack of appropriate level of experience and training commensurate with its financial reporting requirements; risk assessment as changes to existing controls or the implementation of new controls have not been sufficient to respond to changes to the risks of material misstatement to financial reporting; the accounting for complex financing transactions, segregation of duties, and certain information technology (IT) general controls related to user access controls, program change management controls and computer operations controls over information systems relevant to the preparation of the preparation of our financial statements. The material weaknesses related to the control environment, risk assessment and complex financing transactions resulted in the revision of the consolidated financial statements as of and for the periods ended September 30, 2022, December 31, 2022, March 31, 2023, and June 30, 2023. The material weaknesses related to segregation of duties and IT general controls did not result in a misstatement to our annual or interim consolidated financial statements. Additionally, the material weaknesses could result in misstatements to substantially all of our accounts and disclosures that would result in a material misstatement of the annual or interim consolidated financial statements that would not be prevented or detected.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Plan to Remediate the Material Weaknesses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remediation actions are currently being implemented and are in progress:</w:t>
      </w:r>
    </w:p>
    <w:p>
      <w:pPr>
        <w:spacing w:after="0" w:line="217" w:lineRule="exact"/>
        <w:rPr>
          <w:sz w:val="20"/>
          <w:szCs w:val="20"/>
          <w:color w:val="auto"/>
        </w:rPr>
      </w:pPr>
    </w:p>
    <w:p>
      <w:pPr>
        <w:ind w:left="640" w:hanging="316"/>
        <w:spacing w:after="0" w:line="274"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Engaged a third party to perform a risk assessment that includes the identification and walkthrough of key business processes and conducting design and operational control testing to address key risks.</w:t>
      </w:r>
    </w:p>
    <w:p>
      <w:pPr>
        <w:spacing w:after="0" w:line="16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a segregation of duties assessment identifying key conflicts and mitigating controls.</w:t>
      </w:r>
    </w:p>
    <w:p>
      <w:pPr>
        <w:spacing w:after="0" w:line="21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the design and implementation of a Segregation of Duties automated tool for our Enterprise Resource Planning (ERP) system. Additionally, we have initiated the design and implementation of similar controls for the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remaining financially relevant applications. Improvements have been implemented in tool utilization to strengthen the segregation of duties.</w:t>
      </w:r>
    </w:p>
    <w:p>
      <w:pPr>
        <w:spacing w:after="0" w:line="217" w:lineRule="exact"/>
        <w:rPr>
          <w:sz w:val="20"/>
          <w:szCs w:val="20"/>
          <w:color w:val="auto"/>
        </w:rPr>
      </w:pPr>
    </w:p>
    <w:p>
      <w:pPr>
        <w:ind w:left="640" w:hanging="316"/>
        <w:spacing w:after="0" w:line="274"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the design and implementation of controls related to the review of Service Organization Control reports, which cover program change management and computer operations for many of the applications that we rely on for financial reporting.</w:t>
      </w:r>
    </w:p>
    <w:p>
      <w:pPr>
        <w:spacing w:after="0" w:line="163"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Developed policies and procedures for the quarterly user access review of all users with access to the financially relevant systems and then implemented the quarterly user access review for one design cycle.</w:t>
      </w:r>
    </w:p>
    <w:p>
      <w:pPr>
        <w:spacing w:after="0" w:line="16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the design and implementation of the controls related to review and approval of complex financing transactions.</w:t>
      </w:r>
    </w:p>
    <w:p>
      <w:pPr>
        <w:spacing w:after="0" w:line="21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the implementation of an automated month and quarter-end accounting close workflow tool to facilitate the review and support of key financial close process controls.</w:t>
      </w:r>
    </w:p>
    <w:p>
      <w:pPr>
        <w:spacing w:after="0" w:line="16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hired personnel with expertise in risk assessment and internal controls.</w:t>
      </w:r>
    </w:p>
    <w:p>
      <w:pPr>
        <w:spacing w:after="0" w:line="217"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material weaknesses will not be considered remediated until management completes the design and implementation of the measures described above, the controls operate for a sufficient period of time, and management has concluded, through testing, that the controls are effective.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32" w:lineRule="exact"/>
        <w:rPr>
          <w:sz w:val="20"/>
          <w:szCs w:val="20"/>
          <w:color w:val="auto"/>
        </w:rPr>
      </w:pPr>
    </w:p>
    <w:p>
      <w:pPr>
        <w:ind w:firstLine="318"/>
        <w:spacing w:after="0" w:line="288" w:lineRule="auto"/>
        <w:rPr>
          <w:sz w:val="20"/>
          <w:szCs w:val="20"/>
          <w:color w:val="auto"/>
        </w:rPr>
      </w:pPr>
      <w:r>
        <w:rPr>
          <w:rFonts w:ascii="Times New Roman" w:cs="Times New Roman" w:eastAsia="Times New Roman" w:hAnsi="Times New Roman"/>
          <w:sz w:val="17"/>
          <w:szCs w:val="17"/>
          <w:color w:val="auto"/>
        </w:rPr>
        <w:t>There were no changes in the Company’s internal control over financial reporting (as defined in Rule 13a-15(f) of the Exchange Act) during the quarter ended September 30, 2024 that materially affected, or are reasonably likely to materially affect, the Company’s internal control over financial reporting.</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material set forth in the section titled “Legal Proceedings” in Note 7 of our Notes to condensed consolidated Financial Statements is incorporated herein by reference.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19"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7"/>
          <w:szCs w:val="17"/>
          <w:color w:val="auto"/>
        </w:rPr>
        <w:t>Our operations and financial results are subject to various risks and uncertainties, including those described below and those described in Part I, Item 1A, "Risk Factors" in our Annual Report on Form 10-K for the year ended December 31, 2023, as updated in our Quarterly Report on Form 10-Q for the quarter ended March 31, 2024, which could adversely affect our business, financial condition, results of operations, cash flows, and the trading price of our stock.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than as described below, there have been no material changes from these risk factors during the quarter ended September 30, 2024.</w:t>
      </w:r>
    </w:p>
    <w:p>
      <w:pPr>
        <w:spacing w:after="0" w:line="240" w:lineRule="exact"/>
        <w:rPr>
          <w:sz w:val="20"/>
          <w:szCs w:val="20"/>
          <w:color w:val="auto"/>
        </w:rPr>
      </w:pPr>
    </w:p>
    <w:p>
      <w:pPr>
        <w:jc w:val="both"/>
        <w:ind w:firstLine="318"/>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engage in future acquisitions or strategic transactions which may require us to seek additional financing or financial commitments, increase our expenses and/or present significant distractions to our management.</w:t>
      </w:r>
    </w:p>
    <w:p>
      <w:pPr>
        <w:spacing w:after="0" w:line="18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In January 2024, we completed our acquisition of SYNQ3 and in August 2024, we completed our acquisition of Amelia and we continue to actively evaluate opportunities to grow and enhance our business and technologies. In the event we engage in an acquisition or other strategic transaction, including by making an investment in another company, we may need to acquire additional financing. Obtaining financing through the issuance or sale of additional equity and/or debt securities, if possible, may not be at favorable terms and may result in additional dilution to our current stockholders. Additionally, any such transaction may require us to incur non-recurring or other charges, may increase our near and long-term expenditures and may pose significant integration challenges or disrupt our management or business, which could adversely affect our operations and financial results. For example, an acquisition or strategic transaction, may entail numerous operational and financial risks, including the risks outlined above and additionally:</w:t>
      </w:r>
    </w:p>
    <w:p>
      <w:pPr>
        <w:spacing w:after="0" w:line="230" w:lineRule="exact"/>
        <w:rPr>
          <w:sz w:val="20"/>
          <w:szCs w:val="20"/>
          <w:color w:val="auto"/>
        </w:rPr>
      </w:pPr>
    </w:p>
    <w:p>
      <w:pPr>
        <w:ind w:left="640" w:hanging="316"/>
        <w:spacing w:after="0"/>
        <w:tabs>
          <w:tab w:leader="none" w:pos="640" w:val="left"/>
        </w:tabs>
        <w:numPr>
          <w:ilvl w:val="0"/>
          <w:numId w:val="9"/>
        </w:numPr>
        <w:rPr>
          <w:rFonts w:ascii="Arial" w:cs="Arial" w:eastAsia="Arial" w:hAnsi="Arial"/>
          <w:sz w:val="21"/>
          <w:szCs w:val="21"/>
          <w:color w:val="auto"/>
        </w:rPr>
      </w:pPr>
      <w:r>
        <w:rPr>
          <w:rFonts w:ascii="Times New Roman" w:cs="Times New Roman" w:eastAsia="Times New Roman" w:hAnsi="Times New Roman"/>
          <w:sz w:val="18"/>
          <w:szCs w:val="18"/>
          <w:color w:val="auto"/>
        </w:rPr>
        <w:t>exposure to unknown financial or product liabilities;</w:t>
      </w:r>
    </w:p>
    <w:p>
      <w:pPr>
        <w:spacing w:after="0" w:line="13" w:lineRule="exact"/>
        <w:rPr>
          <w:rFonts w:ascii="Arial" w:cs="Arial" w:eastAsia="Arial" w:hAnsi="Arial"/>
          <w:sz w:val="21"/>
          <w:szCs w:val="21"/>
          <w:color w:val="auto"/>
        </w:rPr>
      </w:pPr>
    </w:p>
    <w:p>
      <w:pPr>
        <w:ind w:left="640" w:hanging="316"/>
        <w:spacing w:after="0" w:line="223" w:lineRule="auto"/>
        <w:tabs>
          <w:tab w:leader="none" w:pos="64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disruption of our business and diversion of our management's time and attention in order to develop acquired products or technologies;</w:t>
      </w:r>
    </w:p>
    <w:p>
      <w:pPr>
        <w:spacing w:after="0" w:line="10" w:lineRule="exact"/>
        <w:rPr>
          <w:rFonts w:ascii="Times New Roman" w:cs="Times New Roman" w:eastAsia="Times New Roman" w:hAnsi="Times New Roman"/>
          <w:sz w:val="21"/>
          <w:szCs w:val="21"/>
          <w:color w:val="auto"/>
        </w:rPr>
      </w:pPr>
    </w:p>
    <w:p>
      <w:pPr>
        <w:ind w:left="640" w:hanging="316"/>
        <w:spacing w:after="0" w:line="227" w:lineRule="auto"/>
        <w:tabs>
          <w:tab w:leader="none" w:pos="64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higher than expected acquisition and integration costs;</w:t>
      </w:r>
    </w:p>
    <w:p>
      <w:pPr>
        <w:spacing w:after="0" w:line="10" w:lineRule="exact"/>
        <w:rPr>
          <w:rFonts w:ascii="Times New Roman" w:cs="Times New Roman" w:eastAsia="Times New Roman" w:hAnsi="Times New Roman"/>
          <w:sz w:val="21"/>
          <w:szCs w:val="21"/>
          <w:color w:val="auto"/>
        </w:rPr>
      </w:pPr>
    </w:p>
    <w:p>
      <w:pPr>
        <w:ind w:left="640" w:hanging="316"/>
        <w:spacing w:after="0" w:line="227" w:lineRule="auto"/>
        <w:tabs>
          <w:tab w:leader="none" w:pos="64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write-downs of assets or goodwill or impairment charges;</w:t>
      </w:r>
    </w:p>
    <w:p>
      <w:pPr>
        <w:spacing w:after="0" w:line="10" w:lineRule="exact"/>
        <w:rPr>
          <w:rFonts w:ascii="Times New Roman" w:cs="Times New Roman" w:eastAsia="Times New Roman" w:hAnsi="Times New Roman"/>
          <w:sz w:val="21"/>
          <w:szCs w:val="21"/>
          <w:color w:val="auto"/>
        </w:rPr>
      </w:pPr>
    </w:p>
    <w:p>
      <w:pPr>
        <w:ind w:left="640" w:hanging="316"/>
        <w:spacing w:after="0" w:line="227" w:lineRule="auto"/>
        <w:tabs>
          <w:tab w:leader="none" w:pos="64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increased amortization expenses;</w:t>
      </w:r>
    </w:p>
    <w:p>
      <w:pPr>
        <w:spacing w:after="0" w:line="10" w:lineRule="exact"/>
        <w:rPr>
          <w:rFonts w:ascii="Times New Roman" w:cs="Times New Roman" w:eastAsia="Times New Roman" w:hAnsi="Times New Roman"/>
          <w:sz w:val="21"/>
          <w:szCs w:val="21"/>
          <w:color w:val="auto"/>
        </w:rPr>
      </w:pPr>
    </w:p>
    <w:p>
      <w:pPr>
        <w:ind w:left="640" w:hanging="316"/>
        <w:spacing w:after="0" w:line="227" w:lineRule="auto"/>
        <w:tabs>
          <w:tab w:leader="none" w:pos="64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difficulty and cost in combining the operations and personnel of any acquired businesses with our operations and personnel;</w:t>
      </w:r>
    </w:p>
    <w:p>
      <w:pPr>
        <w:spacing w:after="0" w:line="10" w:lineRule="exact"/>
        <w:rPr>
          <w:rFonts w:ascii="Times New Roman" w:cs="Times New Roman" w:eastAsia="Times New Roman" w:hAnsi="Times New Roman"/>
          <w:sz w:val="21"/>
          <w:szCs w:val="21"/>
          <w:color w:val="auto"/>
        </w:rPr>
      </w:pPr>
    </w:p>
    <w:p>
      <w:pPr>
        <w:ind w:left="640" w:hanging="316"/>
        <w:spacing w:after="0" w:line="227" w:lineRule="auto"/>
        <w:tabs>
          <w:tab w:leader="none" w:pos="64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impairment of relationships with key suppliers or customers of any acquired businesses due to changes in management and ownership; and</w:t>
      </w:r>
    </w:p>
    <w:p>
      <w:pPr>
        <w:spacing w:after="0" w:line="10" w:lineRule="exact"/>
        <w:rPr>
          <w:rFonts w:ascii="Times New Roman" w:cs="Times New Roman" w:eastAsia="Times New Roman" w:hAnsi="Times New Roman"/>
          <w:sz w:val="21"/>
          <w:szCs w:val="21"/>
          <w:color w:val="auto"/>
        </w:rPr>
      </w:pPr>
    </w:p>
    <w:p>
      <w:pPr>
        <w:ind w:left="640" w:hanging="316"/>
        <w:spacing w:after="0" w:line="227" w:lineRule="auto"/>
        <w:tabs>
          <w:tab w:leader="none" w:pos="64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inability to retain key employees of any acquired businesses.</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Accordingly, although there can be no assurance that we will undertake or successfully complete any transactions of the nature described above, any transactions that we do complete could have a material adverse effect on our business, results of operations, financial condition and prospects.</w:t>
      </w:r>
    </w:p>
    <w:p>
      <w:pPr>
        <w:spacing w:after="0" w:line="186"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intangible assets and goodwill that we recorded in connection with our acquisitions, including our SYNQ3 and Amelia acquisitions, become impaired, we may have to take significant charges against earnings, which would have a negative impact on our financial condition and results of operations.</w:t>
      </w:r>
    </w:p>
    <w:p>
      <w:pPr>
        <w:spacing w:after="0" w:line="201"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We record goodwill and intangible assets at fair value upon the acquisition of a business. Goodwill represents the excess of amounts paid for acquiring businesses over the fair value of the net assets acquired. Under generally accepted accounting principles in the United States, we must assess, at least annually and potentially more frequently, whether the value of indefinite-lived intangible assets and goodwill have been impaired. Intangible assets and goodwill will be assessed for impairment in the event of an impairment indicator. Any reduction or impairment of the value of intangible assets and goodwill will result in a charge against earnings, which could materially adversely affect our results of operations and shareholders’ equity in future periods.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both"/>
        <w:ind w:firstLine="318"/>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acquisitions expose us to risks that could adversely affect our business, and we may not achieve the anticipated benefits of acquisitions of businesses or technologies.</w:t>
      </w:r>
    </w:p>
    <w:p>
      <w:pPr>
        <w:spacing w:after="0" w:line="18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a part of our growth strategy, we have made and may continue to make selected acquisitions of complementary products and/or businesses. Any acquisition involves numerous risks and operational, financial, and managerial challenges, including the following, any of which could adversely affect our business, financial condition, or results of operations:</w:t>
      </w:r>
    </w:p>
    <w:p>
      <w:pPr>
        <w:spacing w:after="0" w:line="234" w:lineRule="exact"/>
        <w:rPr>
          <w:sz w:val="20"/>
          <w:szCs w:val="20"/>
          <w:color w:val="auto"/>
        </w:rPr>
      </w:pPr>
    </w:p>
    <w:p>
      <w:pPr>
        <w:ind w:left="640" w:hanging="316"/>
        <w:spacing w:after="0"/>
        <w:tabs>
          <w:tab w:leader="none" w:pos="640" w:val="left"/>
        </w:tabs>
        <w:numPr>
          <w:ilvl w:val="0"/>
          <w:numId w:val="10"/>
        </w:numPr>
        <w:rPr>
          <w:rFonts w:ascii="Arial" w:cs="Arial" w:eastAsia="Arial" w:hAnsi="Arial"/>
          <w:sz w:val="21"/>
          <w:szCs w:val="21"/>
          <w:color w:val="auto"/>
        </w:rPr>
      </w:pPr>
      <w:r>
        <w:rPr>
          <w:rFonts w:ascii="Times New Roman" w:cs="Times New Roman" w:eastAsia="Times New Roman" w:hAnsi="Times New Roman"/>
          <w:sz w:val="18"/>
          <w:szCs w:val="18"/>
          <w:color w:val="auto"/>
        </w:rPr>
        <w:t>difficulties in integrating new operations, technologies, products, and personnel;</w:t>
      </w:r>
    </w:p>
    <w:p>
      <w:pPr>
        <w:spacing w:after="0" w:line="14" w:lineRule="exact"/>
        <w:rPr>
          <w:rFonts w:ascii="Arial" w:cs="Arial" w:eastAsia="Arial" w:hAnsi="Arial"/>
          <w:sz w:val="21"/>
          <w:szCs w:val="21"/>
          <w:color w:val="auto"/>
        </w:rPr>
      </w:pPr>
    </w:p>
    <w:p>
      <w:pPr>
        <w:ind w:left="640" w:hanging="316"/>
        <w:spacing w:after="0" w:line="236" w:lineRule="auto"/>
        <w:tabs>
          <w:tab w:leader="none" w:pos="64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problems maintaining uniform procedures, controls and policies with respect to our financial accounting systems;</w:t>
      </w:r>
    </w:p>
    <w:p>
      <w:pPr>
        <w:spacing w:after="0" w:line="10" w:lineRule="exact"/>
        <w:rPr>
          <w:rFonts w:ascii="Times New Roman" w:cs="Times New Roman" w:eastAsia="Times New Roman" w:hAnsi="Times New Roman"/>
          <w:sz w:val="21"/>
          <w:szCs w:val="21"/>
          <w:color w:val="auto"/>
        </w:rPr>
      </w:pPr>
    </w:p>
    <w:p>
      <w:pPr>
        <w:ind w:left="640" w:hanging="316"/>
        <w:spacing w:after="0"/>
        <w:tabs>
          <w:tab w:leader="none" w:pos="64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lack of synergies or the inability to realize expected synergies and cost-savings;</w:t>
      </w:r>
    </w:p>
    <w:p>
      <w:pPr>
        <w:spacing w:after="0" w:line="33" w:lineRule="exact"/>
        <w:rPr>
          <w:rFonts w:ascii="Times New Roman" w:cs="Times New Roman" w:eastAsia="Times New Roman" w:hAnsi="Times New Roman"/>
          <w:sz w:val="21"/>
          <w:szCs w:val="21"/>
          <w:color w:val="auto"/>
        </w:rPr>
      </w:pPr>
    </w:p>
    <w:p>
      <w:pPr>
        <w:ind w:left="640" w:hanging="316"/>
        <w:spacing w:after="0" w:line="237" w:lineRule="auto"/>
        <w:tabs>
          <w:tab w:leader="none" w:pos="635"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difficulties in managing geographically dispersed operations, including risks associated with entering foreign markets in which we have no or limited prior experience;</w:t>
      </w:r>
    </w:p>
    <w:p>
      <w:pPr>
        <w:spacing w:after="0" w:line="10" w:lineRule="exact"/>
        <w:rPr>
          <w:rFonts w:ascii="Times New Roman" w:cs="Times New Roman" w:eastAsia="Times New Roman" w:hAnsi="Times New Roman"/>
          <w:sz w:val="21"/>
          <w:szCs w:val="21"/>
          <w:color w:val="auto"/>
        </w:rPr>
      </w:pPr>
    </w:p>
    <w:p>
      <w:pPr>
        <w:ind w:left="640" w:hanging="316"/>
        <w:spacing w:after="0"/>
        <w:tabs>
          <w:tab w:leader="none" w:pos="64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underperformance of any acquired technology, product, or business relative to our expectations and the price we paid;</w:t>
      </w:r>
    </w:p>
    <w:p>
      <w:pPr>
        <w:spacing w:after="0" w:line="10" w:lineRule="exact"/>
        <w:rPr>
          <w:rFonts w:ascii="Times New Roman" w:cs="Times New Roman" w:eastAsia="Times New Roman" w:hAnsi="Times New Roman"/>
          <w:sz w:val="21"/>
          <w:szCs w:val="21"/>
          <w:color w:val="auto"/>
        </w:rPr>
      </w:pPr>
    </w:p>
    <w:p>
      <w:pPr>
        <w:ind w:left="640" w:hanging="316"/>
        <w:spacing w:after="0"/>
        <w:tabs>
          <w:tab w:leader="none" w:pos="64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negative near-term impacts on financial results after an acquisition, including acquisition-related earnings charges;</w:t>
      </w:r>
    </w:p>
    <w:p>
      <w:pPr>
        <w:spacing w:after="0" w:line="10" w:lineRule="exact"/>
        <w:rPr>
          <w:rFonts w:ascii="Times New Roman" w:cs="Times New Roman" w:eastAsia="Times New Roman" w:hAnsi="Times New Roman"/>
          <w:sz w:val="21"/>
          <w:szCs w:val="21"/>
          <w:color w:val="auto"/>
        </w:rPr>
      </w:pPr>
    </w:p>
    <w:p>
      <w:pPr>
        <w:ind w:left="640" w:hanging="316"/>
        <w:spacing w:after="0"/>
        <w:tabs>
          <w:tab w:leader="none" w:pos="64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the potential loss of key employees, customers, and strategic partners of acquired companies;</w:t>
      </w:r>
    </w:p>
    <w:p>
      <w:pPr>
        <w:spacing w:after="0" w:line="10" w:lineRule="exact"/>
        <w:rPr>
          <w:rFonts w:ascii="Times New Roman" w:cs="Times New Roman" w:eastAsia="Times New Roman" w:hAnsi="Times New Roman"/>
          <w:sz w:val="21"/>
          <w:szCs w:val="21"/>
          <w:color w:val="auto"/>
        </w:rPr>
      </w:pPr>
    </w:p>
    <w:p>
      <w:pPr>
        <w:ind w:left="640" w:hanging="316"/>
        <w:spacing w:after="0"/>
        <w:tabs>
          <w:tab w:leader="none" w:pos="64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claims by terminated employees and shareholders of acquired companies or other third parties related to the transaction;</w:t>
      </w:r>
    </w:p>
    <w:p>
      <w:pPr>
        <w:spacing w:after="0" w:line="23" w:lineRule="exact"/>
        <w:rPr>
          <w:rFonts w:ascii="Times New Roman" w:cs="Times New Roman" w:eastAsia="Times New Roman" w:hAnsi="Times New Roman"/>
          <w:sz w:val="21"/>
          <w:szCs w:val="21"/>
          <w:color w:val="auto"/>
        </w:rPr>
      </w:pPr>
    </w:p>
    <w:p>
      <w:pPr>
        <w:ind w:left="640" w:hanging="316"/>
        <w:spacing w:after="0"/>
        <w:tabs>
          <w:tab w:leader="none" w:pos="64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the assumption or incurrence of additional debt obligations or expenses, or use of substantial portions of our cash;</w:t>
      </w:r>
    </w:p>
    <w:p>
      <w:pPr>
        <w:spacing w:after="0" w:line="20" w:lineRule="exact"/>
        <w:rPr>
          <w:rFonts w:ascii="Times New Roman" w:cs="Times New Roman" w:eastAsia="Times New Roman" w:hAnsi="Times New Roman"/>
          <w:sz w:val="21"/>
          <w:szCs w:val="21"/>
          <w:color w:val="auto"/>
        </w:rPr>
      </w:pPr>
    </w:p>
    <w:p>
      <w:pPr>
        <w:ind w:left="640" w:hanging="316"/>
        <w:spacing w:after="0" w:line="237" w:lineRule="auto"/>
        <w:tabs>
          <w:tab w:leader="none" w:pos="635"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the issuance of equity securities to finance or as consideration for any acquisitions that dilute the ownership of our stockholders (which in the case of certain of our prior acquisitions were significant);</w:t>
      </w:r>
    </w:p>
    <w:p>
      <w:pPr>
        <w:spacing w:after="0" w:line="20" w:lineRule="exact"/>
        <w:rPr>
          <w:rFonts w:ascii="Times New Roman" w:cs="Times New Roman" w:eastAsia="Times New Roman" w:hAnsi="Times New Roman"/>
          <w:sz w:val="21"/>
          <w:szCs w:val="21"/>
          <w:color w:val="auto"/>
        </w:rPr>
      </w:pPr>
    </w:p>
    <w:p>
      <w:pPr>
        <w:ind w:left="640" w:hanging="316"/>
        <w:spacing w:after="0" w:line="237" w:lineRule="auto"/>
        <w:tabs>
          <w:tab w:leader="none" w:pos="635"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the issuance of equity securities to finance or as consideration for any acquisitions may not be an option if the price of our common stock is low or volatile which could preclude us from completing any such acquisitions;</w:t>
      </w:r>
    </w:p>
    <w:p>
      <w:pPr>
        <w:spacing w:after="0" w:line="10" w:lineRule="exact"/>
        <w:rPr>
          <w:rFonts w:ascii="Times New Roman" w:cs="Times New Roman" w:eastAsia="Times New Roman" w:hAnsi="Times New Roman"/>
          <w:sz w:val="21"/>
          <w:szCs w:val="21"/>
          <w:color w:val="auto"/>
        </w:rPr>
      </w:pPr>
    </w:p>
    <w:p>
      <w:pPr>
        <w:ind w:left="640" w:hanging="316"/>
        <w:spacing w:after="0"/>
        <w:tabs>
          <w:tab w:leader="none" w:pos="64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diversion of management’s attention and company resources from existing operations of the business;</w:t>
      </w:r>
    </w:p>
    <w:p>
      <w:pPr>
        <w:spacing w:after="0" w:line="10" w:lineRule="exact"/>
        <w:rPr>
          <w:rFonts w:ascii="Times New Roman" w:cs="Times New Roman" w:eastAsia="Times New Roman" w:hAnsi="Times New Roman"/>
          <w:sz w:val="21"/>
          <w:szCs w:val="21"/>
          <w:color w:val="auto"/>
        </w:rPr>
      </w:pPr>
    </w:p>
    <w:p>
      <w:pPr>
        <w:ind w:left="640" w:hanging="316"/>
        <w:spacing w:after="0"/>
        <w:tabs>
          <w:tab w:leader="none" w:pos="64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inconsistencies in standards, controls, procedures, and policies;</w:t>
      </w:r>
    </w:p>
    <w:p>
      <w:pPr>
        <w:spacing w:after="0" w:line="10" w:lineRule="exact"/>
        <w:rPr>
          <w:rFonts w:ascii="Times New Roman" w:cs="Times New Roman" w:eastAsia="Times New Roman" w:hAnsi="Times New Roman"/>
          <w:sz w:val="21"/>
          <w:szCs w:val="21"/>
          <w:color w:val="auto"/>
        </w:rPr>
      </w:pPr>
    </w:p>
    <w:p>
      <w:pPr>
        <w:ind w:left="640" w:hanging="316"/>
        <w:spacing w:after="0"/>
        <w:tabs>
          <w:tab w:leader="none" w:pos="64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the impairment of intangible assets as a result of technological advancements, or worse-than-expected performance of acquired companies;</w:t>
      </w:r>
    </w:p>
    <w:p>
      <w:pPr>
        <w:spacing w:after="0" w:line="33" w:lineRule="exact"/>
        <w:rPr>
          <w:rFonts w:ascii="Times New Roman" w:cs="Times New Roman" w:eastAsia="Times New Roman" w:hAnsi="Times New Roman"/>
          <w:sz w:val="21"/>
          <w:szCs w:val="21"/>
          <w:color w:val="auto"/>
        </w:rPr>
      </w:pPr>
    </w:p>
    <w:p>
      <w:pPr>
        <w:ind w:left="640" w:hanging="316"/>
        <w:spacing w:after="0" w:line="237" w:lineRule="auto"/>
        <w:tabs>
          <w:tab w:leader="none" w:pos="635"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assumption of, or exposure to, historical liabilities of the acquired business, including unknown contingent or similar liabilities, including product liability, that are difficult to identify or accurately quantify; and</w:t>
      </w:r>
    </w:p>
    <w:p>
      <w:pPr>
        <w:spacing w:after="0" w:line="10" w:lineRule="exact"/>
        <w:rPr>
          <w:rFonts w:ascii="Times New Roman" w:cs="Times New Roman" w:eastAsia="Times New Roman" w:hAnsi="Times New Roman"/>
          <w:sz w:val="21"/>
          <w:szCs w:val="21"/>
          <w:color w:val="auto"/>
        </w:rPr>
      </w:pPr>
    </w:p>
    <w:p>
      <w:pPr>
        <w:ind w:left="640" w:hanging="316"/>
        <w:spacing w:after="0"/>
        <w:tabs>
          <w:tab w:leader="none" w:pos="64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risks associated with acquiring intellectual property, including potential disputes regarding acquired companies’ intellectual property.</w:t>
      </w:r>
    </w:p>
    <w:p>
      <w:pPr>
        <w:spacing w:after="0" w:line="21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addition, the successful integration of acquired businesses requires significant efforts and expense across all operational areas, including sales and marketing, research and development, finance, legal, and information technologies. There can be no assurance that any of the acquisitions we may make will be successful or will be, or will remain, profitable. Our failure to successfully address the foregoing risks may prevent us from achieving the anticipated benefits from any acquisition in a reasonable time frame, or at all.</w:t>
      </w:r>
    </w:p>
    <w:p>
      <w:pPr>
        <w:spacing w:after="0" w:line="203" w:lineRule="exact"/>
        <w:rPr>
          <w:sz w:val="20"/>
          <w:szCs w:val="20"/>
          <w:color w:val="auto"/>
        </w:rPr>
      </w:pPr>
    </w:p>
    <w:p>
      <w:pPr>
        <w:jc w:val="both"/>
        <w:ind w:firstLine="318"/>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The integration of our acquisitions, and in particular, our acquisitions of SYNQ3 and Amelia, may result in significant accounting charges that adversely affect the financial results of our company.</w:t>
      </w:r>
    </w:p>
    <w:p>
      <w:pPr>
        <w:spacing w:after="0" w:line="18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financial results of our company may be adversely affected by cash expenses and non-cash accounting charges incurred in connection with our acquisitions. In addition to the anticipated cash charges, costs associated with the amortization of intangible assets are expected. The price of our common stock could decline to the extent our financial results are materially affected by the foregoing charges or if the foregoing charges are larger than anticipated.</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Our acquisitions may result in unexpected consequences to our business and results of operations.</w:t>
      </w:r>
    </w:p>
    <w:p>
      <w:pPr>
        <w:spacing w:after="0" w:line="24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Although we believe that our recently acquired businesses will generally be subject to risks similar to those to which we are subject to in our existing operations, we may not have discovered all risks applicable to these businesses during the due diligence process. Some of these risks could produce unexpected and unwanted consequences for us. Undiscovered risks may result in us incurring financial liabilities, which could be material and have a negative impact on our business operations.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both"/>
        <w:ind w:firstLine="318"/>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The existence of a material weakness in internal control over financial reporting of one of our acquired entities may adversely affect our ability to provide timely and reliable financial results.</w:t>
      </w:r>
    </w:p>
    <w:p>
      <w:pPr>
        <w:spacing w:after="0" w:line="187"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7"/>
          <w:szCs w:val="17"/>
          <w:color w:val="auto"/>
        </w:rPr>
        <w:t>A material weakness is a deficiency, or a combination of deficiencies, in the internal control over financial reporting, such that there is a reasonable possibility that a material misstatement of a company’s financial statements will not be prevented or detected on a timely basis. To the extent that any material weakness or significant deficiency exists in the internal control over financial reporting of an acquired entity or a potential acquired entity, such material weakness or significant deficiency may adversely affect our ability to accurately assess such potential acquisition, and, if acquired, may negatively affect our ability to provide timely and reliable financial information necessary for the conduct of our business and the satisfaction of our reporting obligations under the federal securities laws. For example, Amelia identified material weaknesses in its reporting system in connection with its fiscal 2023 audit, relating to revenue recognition, financial close processes and income taxes. As of the date of our acquisition of Amelia, such material weaknesses had not yet been successfully remediated. In addition, as disclosed in our Annual Report, our management identified material weaknesses in our internal control over financial reporting. While we are in the process of addressing our material weaknesses as discussed in our Annual Report and this Quarterly Report on Form 10-Q, elements of our remediation plan can only be accomplished over time and we can offer no assurance that these initiatives will ultimately have the intended effects.</w:t>
      </w:r>
    </w:p>
    <w:p>
      <w:pPr>
        <w:spacing w:after="0" w:line="1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Failure to realize the benefits expected from our recent acquisitions could adversely affect the value of our common stock.</w:t>
      </w: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success of our recent acquisitions will depend, in part, on our ability to:</w:t>
      </w:r>
    </w:p>
    <w:p>
      <w:pPr>
        <w:spacing w:after="0" w:line="273" w:lineRule="exact"/>
        <w:rPr>
          <w:sz w:val="20"/>
          <w:szCs w:val="20"/>
          <w:color w:val="auto"/>
        </w:rPr>
      </w:pPr>
    </w:p>
    <w:p>
      <w:pPr>
        <w:ind w:left="640" w:hanging="316"/>
        <w:spacing w:after="0"/>
        <w:tabs>
          <w:tab w:leader="none" w:pos="640" w:val="left"/>
        </w:tabs>
        <w:numPr>
          <w:ilvl w:val="0"/>
          <w:numId w:val="11"/>
        </w:numPr>
        <w:rPr>
          <w:rFonts w:ascii="Arial" w:cs="Arial" w:eastAsia="Arial" w:hAnsi="Arial"/>
          <w:sz w:val="21"/>
          <w:szCs w:val="21"/>
          <w:color w:val="auto"/>
        </w:rPr>
      </w:pPr>
      <w:r>
        <w:rPr>
          <w:rFonts w:ascii="Times New Roman" w:cs="Times New Roman" w:eastAsia="Times New Roman" w:hAnsi="Times New Roman"/>
          <w:sz w:val="18"/>
          <w:szCs w:val="18"/>
          <w:color w:val="auto"/>
        </w:rPr>
        <w:t>integrate SYNQ3’s and Amelia’s customer bases and capitalize on our cross-selling opportunities;</w:t>
      </w:r>
    </w:p>
    <w:p>
      <w:pPr>
        <w:spacing w:after="0" w:line="14" w:lineRule="exact"/>
        <w:rPr>
          <w:rFonts w:ascii="Arial" w:cs="Arial" w:eastAsia="Arial" w:hAnsi="Arial"/>
          <w:sz w:val="21"/>
          <w:szCs w:val="21"/>
          <w:color w:val="auto"/>
        </w:rPr>
      </w:pPr>
    </w:p>
    <w:p>
      <w:pPr>
        <w:ind w:left="640" w:hanging="316"/>
        <w:spacing w:after="0" w:line="236" w:lineRule="auto"/>
        <w:tabs>
          <w:tab w:leader="none" w:pos="64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realize cost savings from reduced back-office and infrastructure expenses, eliminate duplicative company and management structure costs;</w:t>
      </w:r>
    </w:p>
    <w:p>
      <w:pPr>
        <w:spacing w:after="0" w:line="20" w:lineRule="exact"/>
        <w:rPr>
          <w:rFonts w:ascii="Times New Roman" w:cs="Times New Roman" w:eastAsia="Times New Roman" w:hAnsi="Times New Roman"/>
          <w:sz w:val="21"/>
          <w:szCs w:val="21"/>
          <w:color w:val="auto"/>
        </w:rPr>
      </w:pPr>
    </w:p>
    <w:p>
      <w:pPr>
        <w:ind w:left="640" w:right="20" w:hanging="316"/>
        <w:spacing w:after="0" w:line="244" w:lineRule="auto"/>
        <w:tabs>
          <w:tab w:leader="none" w:pos="635"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operate our combined businesses efficiently, achieve the strategic operating objectives for our business and realize significant cost savings and synergies;</w:t>
      </w:r>
    </w:p>
    <w:p>
      <w:pPr>
        <w:spacing w:after="0" w:line="10" w:lineRule="exact"/>
        <w:rPr>
          <w:rFonts w:ascii="Times New Roman" w:cs="Times New Roman" w:eastAsia="Times New Roman" w:hAnsi="Times New Roman"/>
          <w:sz w:val="21"/>
          <w:szCs w:val="21"/>
          <w:color w:val="auto"/>
        </w:rPr>
      </w:pPr>
    </w:p>
    <w:p>
      <w:pPr>
        <w:ind w:left="640" w:hanging="316"/>
        <w:spacing w:after="0"/>
        <w:tabs>
          <w:tab w:leader="none" w:pos="64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realize the attractive risk-adjusted equity returns from our acquisitions for our stockholders; and</w:t>
      </w:r>
    </w:p>
    <w:p>
      <w:pPr>
        <w:spacing w:after="0" w:line="10" w:lineRule="exact"/>
        <w:rPr>
          <w:rFonts w:ascii="Times New Roman" w:cs="Times New Roman" w:eastAsia="Times New Roman" w:hAnsi="Times New Roman"/>
          <w:sz w:val="21"/>
          <w:szCs w:val="21"/>
          <w:color w:val="auto"/>
        </w:rPr>
      </w:pPr>
    </w:p>
    <w:p>
      <w:pPr>
        <w:ind w:left="640" w:hanging="316"/>
        <w:spacing w:after="0"/>
        <w:tabs>
          <w:tab w:leader="none" w:pos="64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capitalize on the embedded and/or underexploited expansion opportunities offered by our acquisitions that we can expand upon.</w:t>
      </w:r>
    </w:p>
    <w:p>
      <w:pPr>
        <w:spacing w:after="0" w:line="219"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However, to realize the anticipated benefits of our acquisitions we must successfully integrate their businesses in a manner that permits those benefits and cost savings to be realized. Although we expect benefits to result from these acquisitions, there can be no assurance that we will be able to successfully realize these benefits. The challenges involved in this integration will be complex and time consuming and may require a disproportionate amount of resources and management attention and could result in the loss of valuable employees, the disruption of each company’s ongoing business or inconsistencies in standards, controls, procedures, practices, and policies that could adversely impact our operations. If we do not successfully manage these and related issues and challenges, we may not achieve the anticipated benefits of these acquisitions and our revenue, expenses, operating results, financial condition and stock price could be materially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Arrangements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firstLine="238"/>
        <w:spacing w:after="0" w:line="274" w:lineRule="auto"/>
        <w:rPr>
          <w:sz w:val="20"/>
          <w:szCs w:val="20"/>
          <w:color w:val="auto"/>
        </w:rPr>
      </w:pPr>
      <w:r>
        <w:rPr>
          <w:rFonts w:ascii="Times New Roman" w:cs="Times New Roman" w:eastAsia="Times New Roman" w:hAnsi="Times New Roman"/>
          <w:sz w:val="18"/>
          <w:szCs w:val="18"/>
          <w:color w:val="auto"/>
        </w:rPr>
        <w:t>During the fiscal quarter ended September 30, 2024, the following Section 16 officers and directors adopted, modified or terminated a “Rule 10b5-1 trading arrangement” (as defined in Item 408 of Regulation S-K of the Exchange Act):</w:t>
      </w:r>
    </w:p>
    <w:p>
      <w:pPr>
        <w:spacing w:after="0" w:line="163" w:lineRule="exact"/>
        <w:rPr>
          <w:sz w:val="20"/>
          <w:szCs w:val="20"/>
          <w:color w:val="auto"/>
        </w:rPr>
      </w:pPr>
    </w:p>
    <w:p>
      <w:pPr>
        <w:jc w:val="both"/>
        <w:ind w:left="640" w:hanging="316"/>
        <w:spacing w:after="0" w:line="252"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Keyvan Mohajer, Chief Executive Officer and Director, adopted a new trading plan on August 30, 2024 (with the first trade under the new plan not to be made prior to December 1, 2024). The trading plan will be effective until February 28, 2025 and provides for the sale of up to 2,400,000 shares of Dr. Mohajer's 14,139,064 shares of Class B common stock, up to 461,026 shares of Class A common stock issuable upon exercise of outstanding options, and up to 461,026 shares of Class A common stock issuable upon vesting and settlement of certain RSUs and PSUs, provided that certain conditions are met.</w:t>
      </w:r>
    </w:p>
    <w:p>
      <w:pPr>
        <w:spacing w:after="0" w:line="185" w:lineRule="exact"/>
        <w:rPr>
          <w:rFonts w:ascii="Times New Roman" w:cs="Times New Roman" w:eastAsia="Times New Roman" w:hAnsi="Times New Roman"/>
          <w:sz w:val="18"/>
          <w:szCs w:val="18"/>
          <w:color w:val="auto"/>
        </w:rPr>
      </w:pPr>
    </w:p>
    <w:p>
      <w:pPr>
        <w:jc w:val="both"/>
        <w:ind w:left="640" w:hanging="316"/>
        <w:spacing w:after="0" w:line="252"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Majid Emami, Chief Science Officer and Senior Vice President, adopted a new trading plan on August 28, 2024 (with the first trade under the new plan not to be made prior to December 1, 2024). The trading plan will be effective until May 31, 2025 and provides for the sale of up to 2,400,000 shares of Mr. Emami's 16,583,756 shares of Class B common stock, up to 666,748 shares of Class A common stock issuable upon exercise of outstanding options, and up to 254,067 shares of Class A common stock issuable upon vesting and settlement of certain RSUs and PSUs, provided that certain conditions are met.</w:t>
      </w:r>
    </w:p>
    <w:p>
      <w:pPr>
        <w:spacing w:after="0" w:line="185" w:lineRule="exact"/>
        <w:rPr>
          <w:rFonts w:ascii="Times New Roman" w:cs="Times New Roman" w:eastAsia="Times New Roman" w:hAnsi="Times New Roman"/>
          <w:sz w:val="18"/>
          <w:szCs w:val="18"/>
          <w:color w:val="auto"/>
        </w:rPr>
      </w:pPr>
    </w:p>
    <w:p>
      <w:pPr>
        <w:jc w:val="both"/>
        <w:ind w:left="640" w:hanging="316"/>
        <w:spacing w:after="0" w:line="255"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M. Hom, Chief Product Officer and Director, adopted a new trading plan on August 26, 2024 (with the first trade under the new plan not to be made prior to December 16, 2024). The trading plan will be effective until March 31, 2025 and provides for the sale of up to 400,000 shares of Mr. Hom’s 2,012,588 shares of Class B common stock and up to 191,857 shares of Class A common stock issuable upon vesting and settlement of certain RSUs and PSUs, provided that certain conditions are met.</w:t>
      </w:r>
    </w:p>
    <w:p>
      <w:pPr>
        <w:spacing w:after="0" w:line="180"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Diana Sroka, Director, adopted a modified trading plan on August 12, 2024 (with the first trade under the new plan not to be made prior to December 23, 2024). The trading plan will be effective until December 31, 2025 and provides for the sale of up to 9,604 shares of Ms. Sroka's Class A common stock issuable upon vesting and settlement of certain RSUs, provided that certain conditions are met.</w:t>
      </w:r>
    </w:p>
    <w:p>
      <w:pPr>
        <w:spacing w:after="0" w:line="17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There were no “non-Rule 10b5-1 trading arrangements” (as defined in Item 408 of Regulation S-K of the Exchange Act) adopted, modified or terminated during the fiscal quarter ended September 30, 2024 by our directors and Section 16 officers. Each of the Rule 10b5-1 trading arrangements are in accordance with our Insider Trading Policy and actual sale transactions made pursuant to such trading arrangements will be disclosed publicly in Section 16 filings with the SEC in accordance with applicable securities laws, rules and regulations.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report.</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76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No.</w:t>
            </w: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160" w:type="dxa"/>
            <w:vAlign w:val="bottom"/>
            <w:gridSpan w:val="3"/>
          </w:tcPr>
          <w:p>
            <w:pPr>
              <w:ind w:left="258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6"/>
        </w:trPr>
        <w:tc>
          <w:tcPr>
            <w:tcW w:w="1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9"/>
        </w:trPr>
        <w:tc>
          <w:tcPr>
            <w:tcW w:w="1760" w:type="dxa"/>
            <w:vAlign w:val="bottom"/>
            <w:tcBorders>
              <w:bottom w:val="single" w:sz="8" w:color="CCEEFF"/>
            </w:tcBorders>
            <w:shd w:val="clear" w:color="auto" w:fill="CCEEFF"/>
          </w:tcPr>
          <w:p>
            <w:pPr>
              <w:jc w:val="center"/>
              <w:ind w:right="12"/>
              <w:spacing w:after="0" w:line="199" w:lineRule="exact"/>
              <w:rPr>
                <w:sz w:val="20"/>
                <w:szCs w:val="20"/>
                <w:color w:val="auto"/>
              </w:rPr>
            </w:pPr>
            <w:r>
              <w:rPr>
                <w:rFonts w:ascii="Times New Roman" w:cs="Times New Roman" w:eastAsia="Times New Roman" w:hAnsi="Times New Roman"/>
                <w:sz w:val="18"/>
                <w:szCs w:val="18"/>
                <w:color w:val="auto"/>
              </w:rPr>
              <w:t>10.1**</w:t>
            </w:r>
          </w:p>
        </w:tc>
        <w:tc>
          <w:tcPr>
            <w:tcW w:w="9460" w:type="dxa"/>
            <w:vAlign w:val="bottom"/>
            <w:tcBorders>
              <w:bottom w:val="single" w:sz="8" w:color="0000FF"/>
            </w:tcBorders>
            <w:gridSpan w:val="4"/>
            <w:shd w:val="clear" w:color="auto" w:fill="CCEEFF"/>
          </w:tcPr>
          <w:p>
            <w:pPr>
              <w:spacing w:after="0" w:line="199" w:lineRule="exact"/>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Stock Purchase Agreement, dated August 6, 2024, by and among SoundHound AI, Inc., Firehorse Merger Sub, LLC, a Delaware</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92"/>
        </w:trPr>
        <w:tc>
          <w:tcPr>
            <w:tcW w:w="1760" w:type="dxa"/>
            <w:vAlign w:val="bottom"/>
            <w:tcBorders>
              <w:bottom w:val="single" w:sz="8" w:color="CCEEFF"/>
            </w:tcBorders>
            <w:shd w:val="clear" w:color="auto" w:fill="CCEEFF"/>
          </w:tcPr>
          <w:p>
            <w:pPr>
              <w:spacing w:after="0"/>
              <w:rPr>
                <w:sz w:val="16"/>
                <w:szCs w:val="16"/>
                <w:color w:val="auto"/>
              </w:rPr>
            </w:pPr>
          </w:p>
        </w:tc>
        <w:tc>
          <w:tcPr>
            <w:tcW w:w="9460" w:type="dxa"/>
            <w:vAlign w:val="bottom"/>
            <w:tcBorders>
              <w:bottom w:val="single" w:sz="8" w:color="0000FF"/>
            </w:tcBorders>
            <w:gridSpan w:val="4"/>
            <w:shd w:val="clear" w:color="auto" w:fill="CCEEFF"/>
          </w:tcPr>
          <w:p>
            <w:pPr>
              <w:spacing w:after="0" w:line="192" w:lineRule="exact"/>
              <w:rPr>
                <w:rFonts w:ascii="Times New Roman" w:cs="Times New Roman" w:eastAsia="Times New Roman" w:hAnsi="Times New Roman"/>
                <w:sz w:val="18"/>
                <w:szCs w:val="18"/>
                <w:color w:val="0000FF"/>
                <w:w w:val="99"/>
              </w:rPr>
            </w:pPr>
            <w:hyperlink r:id="rId87">
              <w:r>
                <w:rPr>
                  <w:rFonts w:ascii="Times New Roman" w:cs="Times New Roman" w:eastAsia="Times New Roman" w:hAnsi="Times New Roman"/>
                  <w:sz w:val="18"/>
                  <w:szCs w:val="18"/>
                  <w:color w:val="0000FF"/>
                  <w:w w:val="99"/>
                </w:rPr>
                <w:t>limited liability company, IPSoft Global Holdings, Inc., a Delaware corporation, and BuildGroup, LLC, a Delaware limited liability</w:t>
              </w:r>
            </w:hyperlink>
          </w:p>
        </w:tc>
        <w:tc>
          <w:tcPr>
            <w:tcW w:w="20" w:type="dxa"/>
            <w:vAlign w:val="bottom"/>
            <w:tcBorders>
              <w:bottom w:val="single" w:sz="8" w:color="CCEEFF"/>
            </w:tcBorders>
            <w:shd w:val="clear" w:color="auto" w:fill="CCEEFF"/>
          </w:tcPr>
          <w:p>
            <w:pPr>
              <w:spacing w:after="0"/>
              <w:rPr>
                <w:sz w:val="16"/>
                <w:szCs w:val="16"/>
                <w:color w:val="auto"/>
              </w:rPr>
            </w:pPr>
          </w:p>
        </w:tc>
      </w:tr>
      <w:tr>
        <w:trPr>
          <w:trHeight w:val="192"/>
        </w:trPr>
        <w:tc>
          <w:tcPr>
            <w:tcW w:w="1760" w:type="dxa"/>
            <w:vAlign w:val="bottom"/>
            <w:shd w:val="clear" w:color="auto" w:fill="CCEEFF"/>
          </w:tcPr>
          <w:p>
            <w:pPr>
              <w:spacing w:after="0"/>
              <w:rPr>
                <w:sz w:val="16"/>
                <w:szCs w:val="16"/>
                <w:color w:val="auto"/>
              </w:rPr>
            </w:pPr>
          </w:p>
        </w:tc>
        <w:tc>
          <w:tcPr>
            <w:tcW w:w="9480" w:type="dxa"/>
            <w:vAlign w:val="bottom"/>
            <w:gridSpan w:val="5"/>
            <w:shd w:val="clear" w:color="auto" w:fill="CCEEFF"/>
          </w:tcPr>
          <w:p>
            <w:pPr>
              <w:spacing w:after="0" w:line="192" w:lineRule="exact"/>
              <w:rPr>
                <w:rFonts w:ascii="Times New Roman" w:cs="Times New Roman" w:eastAsia="Times New Roman" w:hAnsi="Times New Roman"/>
                <w:sz w:val="18"/>
                <w:szCs w:val="18"/>
                <w:color w:val="0000FF"/>
                <w:w w:val="98"/>
              </w:rPr>
            </w:pPr>
            <w:hyperlink r:id="rId87">
              <w:r>
                <w:rPr>
                  <w:rFonts w:ascii="Times New Roman" w:cs="Times New Roman" w:eastAsia="Times New Roman" w:hAnsi="Times New Roman"/>
                  <w:sz w:val="18"/>
                  <w:szCs w:val="18"/>
                  <w:color w:val="0000FF"/>
                  <w:w w:val="98"/>
                </w:rPr>
                <w:t>company (incorporated by reference to Exhibit 2.1 to the Company’s Current Report on Form 8-K, File No. 001-40193, filed August</w:t>
              </w:r>
            </w:hyperlink>
          </w:p>
        </w:tc>
      </w:tr>
      <w:tr>
        <w:trPr>
          <w:trHeight w:val="238"/>
        </w:trPr>
        <w:tc>
          <w:tcPr>
            <w:tcW w:w="1760" w:type="dxa"/>
            <w:vAlign w:val="bottom"/>
            <w:tcBorders>
              <w:top w:val="single" w:sz="8" w:color="CCEEFF"/>
              <w:bottom w:val="single" w:sz="8" w:color="CCEEFF"/>
            </w:tcBorders>
            <w:shd w:val="clear" w:color="auto" w:fill="CCEEFF"/>
          </w:tcPr>
          <w:p>
            <w:pPr>
              <w:spacing w:after="0"/>
              <w:rPr>
                <w:sz w:val="20"/>
                <w:szCs w:val="20"/>
                <w:color w:val="auto"/>
              </w:rPr>
            </w:pPr>
          </w:p>
        </w:tc>
        <w:tc>
          <w:tcPr>
            <w:tcW w:w="640" w:type="dxa"/>
            <w:vAlign w:val="bottom"/>
            <w:tcBorders>
              <w:top w:val="single" w:sz="8" w:color="0000FF"/>
              <w:bottom w:val="single" w:sz="8" w:color="0000FF"/>
            </w:tcBorders>
            <w:shd w:val="clear" w:color="auto" w:fill="CCEEFF"/>
          </w:tcPr>
          <w:p>
            <w:pPr>
              <w:spacing w:after="0" w:line="192" w:lineRule="exact"/>
              <w:rPr>
                <w:rFonts w:ascii="Times New Roman" w:cs="Times New Roman" w:eastAsia="Times New Roman" w:hAnsi="Times New Roman"/>
                <w:sz w:val="18"/>
                <w:szCs w:val="18"/>
                <w:color w:val="0000FF"/>
                <w:w w:val="96"/>
              </w:rPr>
            </w:pPr>
            <w:hyperlink r:id="rId87">
              <w:r>
                <w:rPr>
                  <w:rFonts w:ascii="Times New Roman" w:cs="Times New Roman" w:eastAsia="Times New Roman" w:hAnsi="Times New Roman"/>
                  <w:sz w:val="18"/>
                  <w:szCs w:val="18"/>
                  <w:color w:val="0000FF"/>
                  <w:w w:val="96"/>
                </w:rPr>
                <w:t>6, 2024).</w:t>
              </w:r>
            </w:hyperlink>
          </w:p>
        </w:tc>
        <w:tc>
          <w:tcPr>
            <w:tcW w:w="680" w:type="dxa"/>
            <w:vAlign w:val="bottom"/>
            <w:tcBorders>
              <w:top w:val="single" w:sz="8" w:color="0000FF"/>
              <w:bottom w:val="single" w:sz="8" w:color="CCEEFF"/>
            </w:tcBorders>
            <w:shd w:val="clear" w:color="auto" w:fill="CCEEFF"/>
          </w:tcPr>
          <w:p>
            <w:pPr>
              <w:spacing w:after="0"/>
              <w:rPr>
                <w:sz w:val="20"/>
                <w:szCs w:val="20"/>
                <w:color w:val="auto"/>
              </w:rPr>
            </w:pPr>
          </w:p>
        </w:tc>
        <w:tc>
          <w:tcPr>
            <w:tcW w:w="2880" w:type="dxa"/>
            <w:vAlign w:val="bottom"/>
            <w:tcBorders>
              <w:top w:val="single" w:sz="8" w:color="0000FF"/>
              <w:bottom w:val="single" w:sz="8" w:color="CCEEFF"/>
            </w:tcBorders>
            <w:shd w:val="clear" w:color="auto" w:fill="CCEEFF"/>
          </w:tcPr>
          <w:p>
            <w:pPr>
              <w:spacing w:after="0"/>
              <w:rPr>
                <w:sz w:val="20"/>
                <w:szCs w:val="20"/>
                <w:color w:val="auto"/>
              </w:rPr>
            </w:pPr>
          </w:p>
        </w:tc>
        <w:tc>
          <w:tcPr>
            <w:tcW w:w="5260" w:type="dxa"/>
            <w:vAlign w:val="bottom"/>
            <w:tcBorders>
              <w:top w:val="single" w:sz="8" w:color="0000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199"/>
        </w:trPr>
        <w:tc>
          <w:tcPr>
            <w:tcW w:w="1760" w:type="dxa"/>
            <w:vAlign w:val="bottom"/>
          </w:tcPr>
          <w:p>
            <w:pPr>
              <w:jc w:val="center"/>
              <w:ind w:right="12"/>
              <w:spacing w:after="0" w:line="199" w:lineRule="exact"/>
              <w:rPr>
                <w:sz w:val="20"/>
                <w:szCs w:val="20"/>
                <w:color w:val="auto"/>
              </w:rPr>
            </w:pPr>
            <w:r>
              <w:rPr>
                <w:rFonts w:ascii="Times New Roman" w:cs="Times New Roman" w:eastAsia="Times New Roman" w:hAnsi="Times New Roman"/>
                <w:sz w:val="18"/>
                <w:szCs w:val="18"/>
                <w:color w:val="auto"/>
              </w:rPr>
              <w:t>10.2**</w:t>
            </w:r>
          </w:p>
        </w:tc>
        <w:tc>
          <w:tcPr>
            <w:tcW w:w="9460" w:type="dxa"/>
            <w:vAlign w:val="bottom"/>
            <w:tcBorders>
              <w:bottom w:val="single" w:sz="8" w:color="0000FF"/>
            </w:tcBorders>
            <w:gridSpan w:val="4"/>
          </w:tcPr>
          <w:p>
            <w:pPr>
              <w:spacing w:after="0" w:line="199" w:lineRule="exact"/>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Credit Agreement, as amended by the Second Amendment dated August 6, 2024, by and among SoundHound AI, Inc., Amelia</w:t>
              </w:r>
            </w:hyperlink>
          </w:p>
        </w:tc>
        <w:tc>
          <w:tcPr>
            <w:tcW w:w="20" w:type="dxa"/>
            <w:vAlign w:val="bottom"/>
          </w:tcPr>
          <w:p>
            <w:pPr>
              <w:spacing w:after="0"/>
              <w:rPr>
                <w:sz w:val="17"/>
                <w:szCs w:val="17"/>
                <w:color w:val="auto"/>
              </w:rPr>
            </w:pPr>
          </w:p>
        </w:tc>
      </w:tr>
      <w:tr>
        <w:trPr>
          <w:trHeight w:val="192"/>
        </w:trPr>
        <w:tc>
          <w:tcPr>
            <w:tcW w:w="1760" w:type="dxa"/>
            <w:vAlign w:val="bottom"/>
          </w:tcPr>
          <w:p>
            <w:pPr>
              <w:spacing w:after="0"/>
              <w:rPr>
                <w:sz w:val="16"/>
                <w:szCs w:val="16"/>
                <w:color w:val="auto"/>
              </w:rPr>
            </w:pPr>
          </w:p>
        </w:tc>
        <w:tc>
          <w:tcPr>
            <w:tcW w:w="9460" w:type="dxa"/>
            <w:vAlign w:val="bottom"/>
            <w:tcBorders>
              <w:bottom w:val="single" w:sz="8" w:color="0000FF"/>
            </w:tcBorders>
            <w:gridSpan w:val="4"/>
          </w:tcPr>
          <w:p>
            <w:pPr>
              <w:spacing w:after="0" w:line="192" w:lineRule="exact"/>
              <w:rPr>
                <w:rFonts w:ascii="Times New Roman" w:cs="Times New Roman" w:eastAsia="Times New Roman" w:hAnsi="Times New Roman"/>
                <w:sz w:val="18"/>
                <w:szCs w:val="18"/>
                <w:color w:val="0000FF"/>
                <w:w w:val="99"/>
              </w:rPr>
            </w:pPr>
            <w:hyperlink r:id="rId88">
              <w:r>
                <w:rPr>
                  <w:rFonts w:ascii="Times New Roman" w:cs="Times New Roman" w:eastAsia="Times New Roman" w:hAnsi="Times New Roman"/>
                  <w:sz w:val="18"/>
                  <w:szCs w:val="18"/>
                  <w:color w:val="0000FF"/>
                  <w:w w:val="99"/>
                </w:rPr>
                <w:t>Holding II, LLC, the other Credit Parties party thereto, the Lenders party thereto, and Monroe Capital Management Advisors, LLC.</w:t>
              </w:r>
            </w:hyperlink>
          </w:p>
        </w:tc>
        <w:tc>
          <w:tcPr>
            <w:tcW w:w="20" w:type="dxa"/>
            <w:vAlign w:val="bottom"/>
          </w:tcPr>
          <w:p>
            <w:pPr>
              <w:spacing w:after="0"/>
              <w:rPr>
                <w:sz w:val="16"/>
                <w:szCs w:val="16"/>
                <w:color w:val="auto"/>
              </w:rPr>
            </w:pPr>
          </w:p>
        </w:tc>
      </w:tr>
      <w:tr>
        <w:trPr>
          <w:trHeight w:val="192"/>
        </w:trPr>
        <w:tc>
          <w:tcPr>
            <w:tcW w:w="1760" w:type="dxa"/>
            <w:vAlign w:val="bottom"/>
          </w:tcPr>
          <w:p>
            <w:pPr>
              <w:spacing w:after="0"/>
              <w:rPr>
                <w:sz w:val="16"/>
                <w:szCs w:val="16"/>
                <w:color w:val="auto"/>
              </w:rPr>
            </w:pPr>
          </w:p>
        </w:tc>
        <w:tc>
          <w:tcPr>
            <w:tcW w:w="9480" w:type="dxa"/>
            <w:vAlign w:val="bottom"/>
            <w:gridSpan w:val="5"/>
          </w:tcPr>
          <w:p>
            <w:pPr>
              <w:spacing w:after="0" w:line="192" w:lineRule="exact"/>
              <w:rPr>
                <w:rFonts w:ascii="Times New Roman" w:cs="Times New Roman" w:eastAsia="Times New Roman" w:hAnsi="Times New Roman"/>
                <w:sz w:val="18"/>
                <w:szCs w:val="18"/>
                <w:color w:val="0000FF"/>
                <w:w w:val="98"/>
              </w:rPr>
            </w:pPr>
            <w:hyperlink r:id="rId88">
              <w:r>
                <w:rPr>
                  <w:rFonts w:ascii="Times New Roman" w:cs="Times New Roman" w:eastAsia="Times New Roman" w:hAnsi="Times New Roman"/>
                  <w:sz w:val="18"/>
                  <w:szCs w:val="18"/>
                  <w:color w:val="0000FF"/>
                  <w:w w:val="98"/>
                </w:rPr>
                <w:t>(incorporated by reference to Exhibit 10.1 to the Company’s Current Report on Form 8-K, File No. 001-40193, filed August 6, 2024).</w:t>
              </w:r>
            </w:hyperlink>
          </w:p>
        </w:tc>
      </w:tr>
      <w:tr>
        <w:trPr>
          <w:trHeight w:val="46"/>
        </w:trPr>
        <w:tc>
          <w:tcPr>
            <w:tcW w:w="176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2880" w:type="dxa"/>
            <w:vAlign w:val="bottom"/>
            <w:tcBorders>
              <w:top w:val="single" w:sz="8" w:color="0000FF"/>
            </w:tcBorders>
          </w:tcPr>
          <w:p>
            <w:pPr>
              <w:spacing w:after="0"/>
              <w:rPr>
                <w:sz w:val="4"/>
                <w:szCs w:val="4"/>
                <w:color w:val="auto"/>
              </w:rPr>
            </w:pPr>
          </w:p>
        </w:tc>
        <w:tc>
          <w:tcPr>
            <w:tcW w:w="526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199"/>
        </w:trPr>
        <w:tc>
          <w:tcPr>
            <w:tcW w:w="1760" w:type="dxa"/>
            <w:vAlign w:val="bottom"/>
            <w:tcBorders>
              <w:bottom w:val="single" w:sz="8" w:color="CCEEFF"/>
            </w:tcBorders>
            <w:shd w:val="clear" w:color="auto" w:fill="CCEEFF"/>
          </w:tcPr>
          <w:p>
            <w:pPr>
              <w:jc w:val="center"/>
              <w:ind w:right="32"/>
              <w:spacing w:after="0" w:line="199" w:lineRule="exact"/>
              <w:rPr>
                <w:sz w:val="20"/>
                <w:szCs w:val="20"/>
                <w:color w:val="auto"/>
              </w:rPr>
            </w:pPr>
            <w:r>
              <w:rPr>
                <w:rFonts w:ascii="Times New Roman" w:cs="Times New Roman" w:eastAsia="Times New Roman" w:hAnsi="Times New Roman"/>
                <w:sz w:val="18"/>
                <w:szCs w:val="18"/>
                <w:color w:val="auto"/>
                <w:w w:val="98"/>
              </w:rPr>
              <w:t>31.1*</w:t>
            </w:r>
          </w:p>
        </w:tc>
        <w:tc>
          <w:tcPr>
            <w:tcW w:w="9460" w:type="dxa"/>
            <w:vAlign w:val="bottom"/>
            <w:tcBorders>
              <w:bottom w:val="single" w:sz="8" w:color="0000FF"/>
            </w:tcBorders>
            <w:gridSpan w:val="4"/>
            <w:shd w:val="clear" w:color="auto" w:fill="CCEEFF"/>
          </w:tcPr>
          <w:p>
            <w:pPr>
              <w:spacing w:after="0" w:line="199"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Securities Exchange Act Rules 13a-14(a) and 15(d)-14(a), as adopted</w:t>
            </w:r>
          </w:p>
        </w:tc>
        <w:tc>
          <w:tcPr>
            <w:tcW w:w="20" w:type="dxa"/>
            <w:vAlign w:val="bottom"/>
            <w:tcBorders>
              <w:bottom w:val="single" w:sz="8" w:color="CCEEFF"/>
            </w:tcBorders>
            <w:shd w:val="clear" w:color="auto" w:fill="CCEEFF"/>
          </w:tcPr>
          <w:p>
            <w:pPr>
              <w:spacing w:after="0"/>
              <w:rPr>
                <w:sz w:val="17"/>
                <w:szCs w:val="17"/>
                <w:color w:val="auto"/>
              </w:rPr>
            </w:pPr>
          </w:p>
        </w:tc>
      </w:tr>
      <w:tr>
        <w:trPr>
          <w:trHeight w:val="238"/>
        </w:trPr>
        <w:tc>
          <w:tcPr>
            <w:tcW w:w="1760" w:type="dxa"/>
            <w:vAlign w:val="bottom"/>
            <w:tcBorders>
              <w:bottom w:val="single" w:sz="8" w:color="CCEEFF"/>
            </w:tcBorders>
            <w:shd w:val="clear" w:color="auto" w:fill="CCEEFF"/>
          </w:tcPr>
          <w:p>
            <w:pPr>
              <w:spacing w:after="0"/>
              <w:rPr>
                <w:sz w:val="20"/>
                <w:szCs w:val="20"/>
                <w:color w:val="auto"/>
              </w:rPr>
            </w:pPr>
          </w:p>
        </w:tc>
        <w:tc>
          <w:tcPr>
            <w:tcW w:w="4200" w:type="dxa"/>
            <w:vAlign w:val="bottom"/>
            <w:tcBorders>
              <w:bottom w:val="single" w:sz="8" w:color="0000FF"/>
            </w:tcBorders>
            <w:gridSpan w:val="3"/>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0000FF"/>
                <w:w w:val="97"/>
              </w:rPr>
              <w:t>Pursuant to Section 302 of the Sarbanes-Oxley Act of 2002</w:t>
            </w:r>
          </w:p>
        </w:tc>
        <w:tc>
          <w:tcPr>
            <w:tcW w:w="5280" w:type="dxa"/>
            <w:vAlign w:val="bottom"/>
            <w:tcBorders>
              <w:bottom w:val="single" w:sz="8" w:color="CCEEFF"/>
            </w:tcBorders>
            <w:gridSpan w:val="2"/>
            <w:shd w:val="clear" w:color="auto" w:fill="CCEEFF"/>
          </w:tcPr>
          <w:p>
            <w:pPr>
              <w:spacing w:after="0"/>
              <w:rPr>
                <w:sz w:val="20"/>
                <w:szCs w:val="20"/>
                <w:color w:val="auto"/>
              </w:rPr>
            </w:pPr>
          </w:p>
        </w:tc>
      </w:tr>
      <w:tr>
        <w:trPr>
          <w:trHeight w:val="199"/>
        </w:trPr>
        <w:tc>
          <w:tcPr>
            <w:tcW w:w="1760" w:type="dxa"/>
            <w:vAlign w:val="bottom"/>
          </w:tcPr>
          <w:p>
            <w:pPr>
              <w:jc w:val="center"/>
              <w:ind w:right="32"/>
              <w:spacing w:after="0" w:line="199" w:lineRule="exact"/>
              <w:rPr>
                <w:sz w:val="20"/>
                <w:szCs w:val="20"/>
                <w:color w:val="auto"/>
              </w:rPr>
            </w:pPr>
            <w:r>
              <w:rPr>
                <w:rFonts w:ascii="Times New Roman" w:cs="Times New Roman" w:eastAsia="Times New Roman" w:hAnsi="Times New Roman"/>
                <w:sz w:val="18"/>
                <w:szCs w:val="18"/>
                <w:color w:val="auto"/>
                <w:w w:val="98"/>
              </w:rPr>
              <w:t>31.2*</w:t>
            </w:r>
          </w:p>
        </w:tc>
        <w:tc>
          <w:tcPr>
            <w:tcW w:w="9480" w:type="dxa"/>
            <w:vAlign w:val="bottom"/>
            <w:tcBorders>
              <w:bottom w:val="single" w:sz="8" w:color="0000FF"/>
            </w:tcBorders>
            <w:gridSpan w:val="5"/>
          </w:tcPr>
          <w:p>
            <w:pPr>
              <w:spacing w:after="0" w:line="199"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Securities Exchange Act Rules 13a-14(a) and 15(d)-14(a), as adopted</w:t>
            </w:r>
          </w:p>
        </w:tc>
      </w:tr>
      <w:tr>
        <w:trPr>
          <w:trHeight w:val="192"/>
        </w:trPr>
        <w:tc>
          <w:tcPr>
            <w:tcW w:w="1760" w:type="dxa"/>
            <w:vAlign w:val="bottom"/>
          </w:tcPr>
          <w:p>
            <w:pPr>
              <w:spacing w:after="0"/>
              <w:rPr>
                <w:sz w:val="16"/>
                <w:szCs w:val="16"/>
                <w:color w:val="auto"/>
              </w:rPr>
            </w:pPr>
          </w:p>
        </w:tc>
        <w:tc>
          <w:tcPr>
            <w:tcW w:w="9480" w:type="dxa"/>
            <w:vAlign w:val="bottom"/>
            <w:gridSpan w:val="5"/>
          </w:tcPr>
          <w:p>
            <w:pPr>
              <w:spacing w:after="0" w:line="192" w:lineRule="exact"/>
              <w:rPr>
                <w:sz w:val="20"/>
                <w:szCs w:val="20"/>
                <w:color w:val="auto"/>
              </w:rPr>
            </w:pPr>
            <w:r>
              <w:rPr>
                <w:rFonts w:ascii="Times New Roman" w:cs="Times New Roman" w:eastAsia="Times New Roman" w:hAnsi="Times New Roman"/>
                <w:sz w:val="18"/>
                <w:szCs w:val="18"/>
                <w:color w:val="0000FF"/>
              </w:rPr>
              <w:t>Pursuant to Section 302 of the Sarbanes-Oxley Act of 2002</w:t>
            </w:r>
          </w:p>
        </w:tc>
      </w:tr>
      <w:tr>
        <w:trPr>
          <w:trHeight w:val="46"/>
        </w:trPr>
        <w:tc>
          <w:tcPr>
            <w:tcW w:w="176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2880" w:type="dxa"/>
            <w:vAlign w:val="bottom"/>
            <w:tcBorders>
              <w:top w:val="single" w:sz="8" w:color="0000FF"/>
            </w:tcBorders>
          </w:tcPr>
          <w:p>
            <w:pPr>
              <w:spacing w:after="0"/>
              <w:rPr>
                <w:sz w:val="4"/>
                <w:szCs w:val="4"/>
                <w:color w:val="auto"/>
              </w:rPr>
            </w:pPr>
          </w:p>
        </w:tc>
        <w:tc>
          <w:tcPr>
            <w:tcW w:w="52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99"/>
        </w:trPr>
        <w:tc>
          <w:tcPr>
            <w:tcW w:w="1760" w:type="dxa"/>
            <w:vAlign w:val="bottom"/>
            <w:tcBorders>
              <w:bottom w:val="single" w:sz="8" w:color="CCEEFF"/>
            </w:tcBorders>
            <w:shd w:val="clear" w:color="auto" w:fill="CCEEFF"/>
          </w:tcPr>
          <w:p>
            <w:pPr>
              <w:jc w:val="center"/>
              <w:ind w:right="12"/>
              <w:spacing w:after="0" w:line="199" w:lineRule="exact"/>
              <w:rPr>
                <w:sz w:val="20"/>
                <w:szCs w:val="20"/>
                <w:color w:val="auto"/>
              </w:rPr>
            </w:pPr>
            <w:r>
              <w:rPr>
                <w:rFonts w:ascii="Times New Roman" w:cs="Times New Roman" w:eastAsia="Times New Roman" w:hAnsi="Times New Roman"/>
                <w:sz w:val="18"/>
                <w:szCs w:val="18"/>
                <w:color w:val="auto"/>
              </w:rPr>
              <w:t>32.1**</w:t>
            </w:r>
          </w:p>
        </w:tc>
        <w:tc>
          <w:tcPr>
            <w:tcW w:w="9460" w:type="dxa"/>
            <w:vAlign w:val="bottom"/>
            <w:tcBorders>
              <w:bottom w:val="single" w:sz="8" w:color="0000FF"/>
            </w:tcBorders>
            <w:gridSpan w:val="4"/>
            <w:shd w:val="clear" w:color="auto" w:fill="CCEEFF"/>
          </w:tcPr>
          <w:p>
            <w:pPr>
              <w:spacing w:after="0" w:line="199" w:lineRule="exact"/>
              <w:rPr>
                <w:sz w:val="20"/>
                <w:szCs w:val="20"/>
                <w:color w:val="auto"/>
              </w:rPr>
            </w:pPr>
            <w:r>
              <w:rPr>
                <w:rFonts w:ascii="Times New Roman" w:cs="Times New Roman" w:eastAsia="Times New Roman" w:hAnsi="Times New Roman"/>
                <w:sz w:val="18"/>
                <w:szCs w:val="18"/>
                <w:color w:val="0000FF"/>
                <w:w w:val="98"/>
              </w:rPr>
              <w:t>Certification of Principal Executive Officer Pursuant to 18 U.S.C. Section 1350, as adopted Pursuant to Section 906 of the Sarbanes-</w:t>
            </w:r>
          </w:p>
        </w:tc>
        <w:tc>
          <w:tcPr>
            <w:tcW w:w="20" w:type="dxa"/>
            <w:vAlign w:val="bottom"/>
            <w:tcBorders>
              <w:bottom w:val="single" w:sz="8" w:color="CCEEFF"/>
            </w:tcBorders>
            <w:shd w:val="clear" w:color="auto" w:fill="CCEEFF"/>
          </w:tcPr>
          <w:p>
            <w:pPr>
              <w:spacing w:after="0"/>
              <w:rPr>
                <w:sz w:val="17"/>
                <w:szCs w:val="17"/>
                <w:color w:val="auto"/>
              </w:rPr>
            </w:pPr>
          </w:p>
        </w:tc>
      </w:tr>
      <w:tr>
        <w:trPr>
          <w:trHeight w:val="238"/>
        </w:trPr>
        <w:tc>
          <w:tcPr>
            <w:tcW w:w="17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0000FF"/>
            </w:tcBorders>
            <w:gridSpan w:val="2"/>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0000FF"/>
                <w:w w:val="96"/>
              </w:rPr>
              <w:t>Oxley Act of 2002</w:t>
            </w:r>
          </w:p>
        </w:tc>
        <w:tc>
          <w:tcPr>
            <w:tcW w:w="8160" w:type="dxa"/>
            <w:vAlign w:val="bottom"/>
            <w:tcBorders>
              <w:bottom w:val="single" w:sz="8" w:color="CCEEFF"/>
            </w:tcBorders>
            <w:gridSpan w:val="3"/>
            <w:shd w:val="clear" w:color="auto" w:fill="CCEEFF"/>
          </w:tcPr>
          <w:p>
            <w:pPr>
              <w:spacing w:after="0"/>
              <w:rPr>
                <w:sz w:val="20"/>
                <w:szCs w:val="20"/>
                <w:color w:val="auto"/>
              </w:rPr>
            </w:pPr>
          </w:p>
        </w:tc>
      </w:tr>
      <w:tr>
        <w:trPr>
          <w:trHeight w:val="199"/>
        </w:trPr>
        <w:tc>
          <w:tcPr>
            <w:tcW w:w="1760" w:type="dxa"/>
            <w:vAlign w:val="bottom"/>
          </w:tcPr>
          <w:p>
            <w:pPr>
              <w:jc w:val="center"/>
              <w:ind w:right="12"/>
              <w:spacing w:after="0" w:line="199" w:lineRule="exact"/>
              <w:rPr>
                <w:sz w:val="20"/>
                <w:szCs w:val="20"/>
                <w:color w:val="auto"/>
              </w:rPr>
            </w:pPr>
            <w:r>
              <w:rPr>
                <w:rFonts w:ascii="Times New Roman" w:cs="Times New Roman" w:eastAsia="Times New Roman" w:hAnsi="Times New Roman"/>
                <w:sz w:val="18"/>
                <w:szCs w:val="18"/>
                <w:color w:val="auto"/>
              </w:rPr>
              <w:t>32.2**</w:t>
            </w:r>
          </w:p>
        </w:tc>
        <w:tc>
          <w:tcPr>
            <w:tcW w:w="9480" w:type="dxa"/>
            <w:vAlign w:val="bottom"/>
            <w:gridSpan w:val="5"/>
          </w:tcPr>
          <w:p>
            <w:pPr>
              <w:spacing w:after="0" w:line="199" w:lineRule="exact"/>
              <w:rPr>
                <w:sz w:val="20"/>
                <w:szCs w:val="20"/>
                <w:color w:val="auto"/>
              </w:rPr>
            </w:pPr>
            <w:r>
              <w:rPr>
                <w:rFonts w:ascii="Times New Roman" w:cs="Times New Roman" w:eastAsia="Times New Roman" w:hAnsi="Times New Roman"/>
                <w:sz w:val="18"/>
                <w:szCs w:val="18"/>
                <w:color w:val="0000FF"/>
                <w:w w:val="99"/>
              </w:rPr>
              <w:t>Certification of Principal Financial Officer Pursuant to 18 U.S.C. Section 1350, as adopted Pursuant to Section 906 of the Sarbanes-</w:t>
            </w:r>
          </w:p>
        </w:tc>
      </w:tr>
      <w:tr>
        <w:trPr>
          <w:trHeight w:val="192"/>
        </w:trPr>
        <w:tc>
          <w:tcPr>
            <w:tcW w:w="1760" w:type="dxa"/>
            <w:vAlign w:val="bottom"/>
          </w:tcPr>
          <w:p>
            <w:pPr>
              <w:spacing w:after="0"/>
              <w:rPr>
                <w:sz w:val="16"/>
                <w:szCs w:val="16"/>
                <w:color w:val="auto"/>
              </w:rPr>
            </w:pPr>
          </w:p>
        </w:tc>
        <w:tc>
          <w:tcPr>
            <w:tcW w:w="1320" w:type="dxa"/>
            <w:vAlign w:val="bottom"/>
            <w:tcBorders>
              <w:top w:val="single" w:sz="8" w:color="0000FF"/>
              <w:bottom w:val="single" w:sz="8" w:color="0000FF"/>
            </w:tcBorders>
            <w:gridSpan w:val="2"/>
          </w:tcPr>
          <w:p>
            <w:pPr>
              <w:spacing w:after="0" w:line="192" w:lineRule="exact"/>
              <w:rPr>
                <w:sz w:val="20"/>
                <w:szCs w:val="20"/>
                <w:color w:val="auto"/>
              </w:rPr>
            </w:pPr>
            <w:r>
              <w:rPr>
                <w:rFonts w:ascii="Times New Roman" w:cs="Times New Roman" w:eastAsia="Times New Roman" w:hAnsi="Times New Roman"/>
                <w:sz w:val="18"/>
                <w:szCs w:val="18"/>
                <w:color w:val="0000FF"/>
                <w:w w:val="96"/>
              </w:rPr>
              <w:t>Oxley Act of 2002</w:t>
            </w:r>
          </w:p>
        </w:tc>
        <w:tc>
          <w:tcPr>
            <w:tcW w:w="8140" w:type="dxa"/>
            <w:vAlign w:val="bottom"/>
            <w:tcBorders>
              <w:top w:val="single" w:sz="8" w:color="0000FF"/>
            </w:tcBorders>
            <w:gridSpan w:val="2"/>
          </w:tcPr>
          <w:p>
            <w:pPr>
              <w:spacing w:after="0"/>
              <w:rPr>
                <w:sz w:val="16"/>
                <w:szCs w:val="16"/>
                <w:color w:val="auto"/>
              </w:rPr>
            </w:pPr>
          </w:p>
        </w:tc>
        <w:tc>
          <w:tcPr>
            <w:tcW w:w="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33655</wp:posOffset>
            </wp:positionV>
            <wp:extent cx="7134860" cy="7067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134860" cy="706755"/>
                    </a:xfrm>
                    <a:prstGeom prst="rect">
                      <a:avLst/>
                    </a:prstGeom>
                    <a:noFill/>
                  </pic:spPr>
                </pic:pic>
              </a:graphicData>
            </a:graphic>
          </wp:anchor>
        </w:drawing>
      </w:r>
    </w:p>
    <w:p>
      <w:pPr>
        <w:spacing w:after="0" w:line="41" w:lineRule="exact"/>
        <w:rPr>
          <w:sz w:val="20"/>
          <w:szCs w:val="20"/>
          <w:color w:val="auto"/>
        </w:rPr>
      </w:pPr>
    </w:p>
    <w:p>
      <w:pPr>
        <w:jc w:val="both"/>
        <w:ind w:left="1760" w:right="20" w:hanging="1065"/>
        <w:spacing w:after="0" w:line="252" w:lineRule="auto"/>
        <w:tabs>
          <w:tab w:leader="none" w:pos="1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SoundHound AI, Inc.'s Quarterly Report on Form 10-Q for the quarter ended September 30, 2024 formatted in Inline XBRL (Extensible Business Reporting Language) includes: (i) the condensed consolidated balance sheets, (ii) the condensed consolidated statements of operations and comprehensive loss, (iii) the condensed consolidated statements of stockholders' equity, (iv) the condensed consolidated statements of cash flows, and (vi) the notes to condensed consolidated financial statements.</w:t>
      </w:r>
    </w:p>
    <w:p>
      <w:pPr>
        <w:spacing w:after="0" w:line="26" w:lineRule="exact"/>
        <w:rPr>
          <w:sz w:val="20"/>
          <w:szCs w:val="20"/>
          <w:color w:val="auto"/>
        </w:rPr>
      </w:pPr>
    </w:p>
    <w:p>
      <w:pPr>
        <w:ind w:left="660"/>
        <w:spacing w:after="0"/>
        <w:tabs>
          <w:tab w:leader="none" w:pos="17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 and contained in Exhibit 101).</w:t>
      </w:r>
    </w:p>
    <w:p>
      <w:pPr>
        <w:spacing w:after="0" w:line="336"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21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or filed in other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9" w:lineRule="exact"/>
        <w:rPr>
          <w:sz w:val="20"/>
          <w:szCs w:val="20"/>
          <w:color w:val="auto"/>
        </w:rPr>
      </w:pPr>
    </w:p>
    <w:p>
      <w:pPr>
        <w:ind w:right="20" w:firstLine="636"/>
        <w:spacing w:after="0" w:line="274" w:lineRule="auto"/>
        <w:rPr>
          <w:sz w:val="20"/>
          <w:szCs w:val="20"/>
          <w:color w:val="auto"/>
        </w:rPr>
      </w:pPr>
      <w:r>
        <w:rPr>
          <w:rFonts w:ascii="Times New Roman" w:cs="Times New Roman" w:eastAsia="Times New Roman" w:hAnsi="Times New Roman"/>
          <w:sz w:val="18"/>
          <w:szCs w:val="18"/>
          <w:color w:val="auto"/>
        </w:rPr>
        <w:t>In accordance with the requirements of the Exchange Act, the registrant caused this report to be signed on its behalf by the undersigned, thereunto duly authorized.</w:t>
      </w: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3680" w:type="dxa"/>
            <w:vAlign w:val="bottom"/>
          </w:tcPr>
          <w:p>
            <w:pPr>
              <w:spacing w:after="0"/>
              <w:rPr>
                <w:sz w:val="20"/>
                <w:szCs w:val="20"/>
                <w:color w:val="auto"/>
              </w:rPr>
            </w:pPr>
          </w:p>
        </w:tc>
        <w:tc>
          <w:tcPr>
            <w:tcW w:w="7540" w:type="dxa"/>
            <w:vAlign w:val="bottom"/>
            <w:gridSpan w:val="2"/>
          </w:tcPr>
          <w:p>
            <w:pPr>
              <w:ind w:left="2120"/>
              <w:spacing w:after="0"/>
              <w:rPr>
                <w:sz w:val="20"/>
                <w:szCs w:val="20"/>
                <w:color w:val="auto"/>
              </w:rPr>
            </w:pPr>
            <w:r>
              <w:rPr>
                <w:rFonts w:ascii="Times New Roman" w:cs="Times New Roman" w:eastAsia="Times New Roman" w:hAnsi="Times New Roman"/>
                <w:sz w:val="18"/>
                <w:szCs w:val="18"/>
                <w:b w:val="1"/>
                <w:bCs w:val="1"/>
                <w:color w:val="auto"/>
              </w:rPr>
              <w:t>SOUNDHOUND AI, INC.</w:t>
            </w:r>
          </w:p>
        </w:tc>
      </w:tr>
      <w:tr>
        <w:trPr>
          <w:trHeight w:val="530"/>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12, 2024</w:t>
            </w:r>
          </w:p>
        </w:tc>
        <w:tc>
          <w:tcPr>
            <w:tcW w:w="300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Dr. Keyvan Mohajer</w:t>
            </w:r>
          </w:p>
        </w:tc>
      </w:tr>
      <w:tr>
        <w:trPr>
          <w:trHeight w:val="25"/>
        </w:trPr>
        <w:tc>
          <w:tcPr>
            <w:tcW w:w="36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r>
      <w:tr>
        <w:trPr>
          <w:trHeight w:val="233"/>
        </w:trPr>
        <w:tc>
          <w:tcPr>
            <w:tcW w:w="3680" w:type="dxa"/>
            <w:vAlign w:val="bottom"/>
          </w:tcPr>
          <w:p>
            <w:pPr>
              <w:spacing w:after="0"/>
              <w:rPr>
                <w:sz w:val="20"/>
                <w:szCs w:val="20"/>
                <w:color w:val="auto"/>
              </w:rPr>
            </w:pPr>
          </w:p>
        </w:tc>
        <w:tc>
          <w:tcPr>
            <w:tcW w:w="300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Name:</w:t>
            </w: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 Keyvan Mohajer</w:t>
            </w:r>
          </w:p>
        </w:tc>
      </w:tr>
      <w:tr>
        <w:trPr>
          <w:trHeight w:val="265"/>
        </w:trPr>
        <w:tc>
          <w:tcPr>
            <w:tcW w:w="3680" w:type="dxa"/>
            <w:vAlign w:val="bottom"/>
          </w:tcPr>
          <w:p>
            <w:pPr>
              <w:spacing w:after="0"/>
              <w:rPr>
                <w:sz w:val="23"/>
                <w:szCs w:val="23"/>
                <w:color w:val="auto"/>
              </w:rPr>
            </w:pPr>
          </w:p>
        </w:tc>
        <w:tc>
          <w:tcPr>
            <w:tcW w:w="300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Title:</w:t>
            </w: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65"/>
        </w:trPr>
        <w:tc>
          <w:tcPr>
            <w:tcW w:w="368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530"/>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12, 2024</w:t>
            </w:r>
          </w:p>
        </w:tc>
        <w:tc>
          <w:tcPr>
            <w:tcW w:w="300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Nitesh Sharan</w:t>
            </w:r>
          </w:p>
        </w:tc>
      </w:tr>
      <w:tr>
        <w:trPr>
          <w:trHeight w:val="25"/>
        </w:trPr>
        <w:tc>
          <w:tcPr>
            <w:tcW w:w="36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r>
      <w:tr>
        <w:trPr>
          <w:trHeight w:val="233"/>
        </w:trPr>
        <w:tc>
          <w:tcPr>
            <w:tcW w:w="3680" w:type="dxa"/>
            <w:vAlign w:val="bottom"/>
          </w:tcPr>
          <w:p>
            <w:pPr>
              <w:spacing w:after="0"/>
              <w:rPr>
                <w:sz w:val="20"/>
                <w:szCs w:val="20"/>
                <w:color w:val="auto"/>
              </w:rPr>
            </w:pPr>
          </w:p>
        </w:tc>
        <w:tc>
          <w:tcPr>
            <w:tcW w:w="300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Name:</w:t>
            </w: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Nitesh Sharan</w:t>
            </w:r>
          </w:p>
        </w:tc>
      </w:tr>
      <w:tr>
        <w:trPr>
          <w:trHeight w:val="265"/>
        </w:trPr>
        <w:tc>
          <w:tcPr>
            <w:tcW w:w="3680" w:type="dxa"/>
            <w:vAlign w:val="bottom"/>
          </w:tcPr>
          <w:p>
            <w:pPr>
              <w:spacing w:after="0"/>
              <w:rPr>
                <w:sz w:val="23"/>
                <w:szCs w:val="23"/>
                <w:color w:val="auto"/>
              </w:rPr>
            </w:pPr>
          </w:p>
        </w:tc>
        <w:tc>
          <w:tcPr>
            <w:tcW w:w="300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Title:</w:t>
            </w: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65"/>
        </w:trPr>
        <w:tc>
          <w:tcPr>
            <w:tcW w:w="368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914"/>
        </w:trPr>
        <w:tc>
          <w:tcPr>
            <w:tcW w:w="3680" w:type="dxa"/>
            <w:vAlign w:val="bottom"/>
          </w:tcPr>
          <w:p>
            <w:pPr>
              <w:spacing w:after="0"/>
              <w:rPr>
                <w:sz w:val="24"/>
                <w:szCs w:val="24"/>
                <w:color w:val="auto"/>
              </w:rPr>
            </w:pPr>
          </w:p>
        </w:tc>
        <w:tc>
          <w:tcPr>
            <w:tcW w:w="300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67</w:t>
            </w:r>
          </w:p>
        </w:tc>
        <w:tc>
          <w:tcPr>
            <w:tcW w:w="4540" w:type="dxa"/>
            <w:vAlign w:val="bottom"/>
          </w:tcPr>
          <w:p>
            <w:pPr>
              <w:spacing w:after="0"/>
              <w:rPr>
                <w:sz w:val="24"/>
                <w:szCs w:val="24"/>
                <w:color w:val="auto"/>
              </w:rPr>
            </w:pPr>
          </w:p>
        </w:tc>
      </w:tr>
    </w:tbl>
    <w:p>
      <w:pPr>
        <w:sectPr>
          <w:pgSz w:w="11900" w:h="16838" w:orient="portrait"/>
          <w:cols w:equalWidth="0" w:num="1">
            <w:col w:w="11240"/>
          </w:cols>
          <w:pgMar w:left="320" w:top="331"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OF THE</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Dr. Keyvan Mohajer, certify that:</w:t>
      </w:r>
    </w:p>
    <w:p>
      <w:pPr>
        <w:spacing w:after="0" w:line="217" w:lineRule="exact"/>
        <w:rPr>
          <w:sz w:val="20"/>
          <w:szCs w:val="20"/>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SoundHound AI, Inc.;</w:t>
      </w:r>
    </w:p>
    <w:p>
      <w:pPr>
        <w:spacing w:after="0" w:line="217"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640" w:hanging="316"/>
        <w:spacing w:after="0" w:line="274"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95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95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ind w:left="960" w:hanging="318"/>
        <w:spacing w:after="0" w:line="274" w:lineRule="auto"/>
        <w:tabs>
          <w:tab w:leader="none" w:pos="95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95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640" w:hanging="316"/>
        <w:spacing w:after="0" w:line="274"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Times New Roman" w:cs="Times New Roman" w:eastAsia="Times New Roman" w:hAnsi="Times New Roman"/>
          <w:sz w:val="18"/>
          <w:szCs w:val="18"/>
          <w:color w:val="auto"/>
        </w:rPr>
      </w:pPr>
    </w:p>
    <w:p>
      <w:pPr>
        <w:ind w:left="960" w:hanging="318"/>
        <w:spacing w:after="0" w:line="274" w:lineRule="auto"/>
        <w:tabs>
          <w:tab w:leader="none" w:pos="95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Times New Roman" w:cs="Times New Roman" w:eastAsia="Times New Roman" w:hAnsi="Times New Roman"/>
          <w:sz w:val="18"/>
          <w:szCs w:val="18"/>
          <w:color w:val="auto"/>
        </w:rPr>
      </w:pPr>
    </w:p>
    <w:p>
      <w:pPr>
        <w:ind w:left="960" w:right="20" w:hanging="318"/>
        <w:spacing w:after="0" w:line="274" w:lineRule="auto"/>
        <w:tabs>
          <w:tab w:leader="none" w:pos="95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November 12, 2024</w:t>
            </w:r>
          </w:p>
        </w:tc>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Dr. Keyvan Mohajer</w:t>
            </w:r>
          </w:p>
        </w:tc>
      </w:tr>
      <w:tr>
        <w:trPr>
          <w:trHeight w:val="239"/>
        </w:trPr>
        <w:tc>
          <w:tcPr>
            <w:tcW w:w="6740" w:type="dxa"/>
            <w:vAlign w:val="bottom"/>
          </w:tcPr>
          <w:p>
            <w:pPr>
              <w:ind w:left="6040"/>
              <w:spacing w:after="0"/>
              <w:rPr>
                <w:sz w:val="20"/>
                <w:szCs w:val="20"/>
                <w:color w:val="auto"/>
              </w:rPr>
            </w:pPr>
            <w:r>
              <w:rPr>
                <w:rFonts w:ascii="Times New Roman" w:cs="Times New Roman" w:eastAsia="Times New Roman" w:hAnsi="Times New Roman"/>
                <w:sz w:val="18"/>
                <w:szCs w:val="18"/>
                <w:color w:val="auto"/>
              </w:rPr>
              <w:t>Name:</w:t>
            </w: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 Keyvan Mohajer</w:t>
            </w:r>
          </w:p>
        </w:tc>
      </w:tr>
      <w:tr>
        <w:trPr>
          <w:trHeight w:val="252"/>
        </w:trPr>
        <w:tc>
          <w:tcPr>
            <w:tcW w:w="6740" w:type="dxa"/>
            <w:vAlign w:val="bottom"/>
          </w:tcPr>
          <w:p>
            <w:pPr>
              <w:ind w:left="6040"/>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52"/>
        </w:trPr>
        <w:tc>
          <w:tcPr>
            <w:tcW w:w="6740" w:type="dxa"/>
            <w:vAlign w:val="bottom"/>
          </w:tcPr>
          <w:p>
            <w:pPr>
              <w:spacing w:after="0"/>
              <w:rPr>
                <w:sz w:val="21"/>
                <w:szCs w:val="21"/>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126"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OF THE</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Nitesh Sharan, certify that:</w:t>
      </w:r>
    </w:p>
    <w:p>
      <w:pPr>
        <w:spacing w:after="0" w:line="217" w:lineRule="exact"/>
        <w:rPr>
          <w:sz w:val="20"/>
          <w:szCs w:val="20"/>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SoundHound AI, Inc.;</w:t>
      </w:r>
    </w:p>
    <w:p>
      <w:pPr>
        <w:spacing w:after="0" w:line="217"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640" w:hanging="316"/>
        <w:spacing w:after="0" w:line="274"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95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95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ind w:left="960" w:hanging="318"/>
        <w:spacing w:after="0" w:line="274" w:lineRule="auto"/>
        <w:tabs>
          <w:tab w:leader="none" w:pos="95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95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640" w:hanging="316"/>
        <w:spacing w:after="0" w:line="274"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Times New Roman" w:cs="Times New Roman" w:eastAsia="Times New Roman" w:hAnsi="Times New Roman"/>
          <w:sz w:val="18"/>
          <w:szCs w:val="18"/>
          <w:color w:val="auto"/>
        </w:rPr>
      </w:pPr>
    </w:p>
    <w:p>
      <w:pPr>
        <w:ind w:left="960" w:hanging="318"/>
        <w:spacing w:after="0" w:line="274" w:lineRule="auto"/>
        <w:tabs>
          <w:tab w:leader="none" w:pos="95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Times New Roman" w:cs="Times New Roman" w:eastAsia="Times New Roman" w:hAnsi="Times New Roman"/>
          <w:sz w:val="18"/>
          <w:szCs w:val="18"/>
          <w:color w:val="auto"/>
        </w:rPr>
      </w:pPr>
    </w:p>
    <w:p>
      <w:pPr>
        <w:ind w:left="960" w:right="20" w:hanging="318"/>
        <w:spacing w:after="0" w:line="274" w:lineRule="auto"/>
        <w:tabs>
          <w:tab w:leader="none" w:pos="95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November 12, 2024</w:t>
            </w:r>
          </w:p>
        </w:tc>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Nitesh Sharan</w:t>
            </w:r>
          </w:p>
        </w:tc>
      </w:tr>
      <w:tr>
        <w:trPr>
          <w:trHeight w:val="239"/>
        </w:trPr>
        <w:tc>
          <w:tcPr>
            <w:tcW w:w="6740" w:type="dxa"/>
            <w:vAlign w:val="bottom"/>
          </w:tcPr>
          <w:p>
            <w:pPr>
              <w:ind w:left="6040"/>
              <w:spacing w:after="0"/>
              <w:rPr>
                <w:sz w:val="20"/>
                <w:szCs w:val="20"/>
                <w:color w:val="auto"/>
              </w:rPr>
            </w:pPr>
            <w:r>
              <w:rPr>
                <w:rFonts w:ascii="Times New Roman" w:cs="Times New Roman" w:eastAsia="Times New Roman" w:hAnsi="Times New Roman"/>
                <w:sz w:val="18"/>
                <w:szCs w:val="18"/>
                <w:color w:val="auto"/>
              </w:rPr>
              <w:t>Name:</w:t>
            </w: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Nitesh Sharan</w:t>
            </w:r>
          </w:p>
        </w:tc>
      </w:tr>
      <w:tr>
        <w:trPr>
          <w:trHeight w:val="252"/>
        </w:trPr>
        <w:tc>
          <w:tcPr>
            <w:tcW w:w="6740" w:type="dxa"/>
            <w:vAlign w:val="bottom"/>
          </w:tcPr>
          <w:p>
            <w:pPr>
              <w:ind w:left="6040"/>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52"/>
        </w:trPr>
        <w:tc>
          <w:tcPr>
            <w:tcW w:w="6740" w:type="dxa"/>
            <w:vAlign w:val="bottom"/>
          </w:tcPr>
          <w:p>
            <w:pPr>
              <w:spacing w:after="0"/>
              <w:rPr>
                <w:sz w:val="21"/>
                <w:szCs w:val="21"/>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1126"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§1350,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Quarterly Report of SoundHound AI, Inc. (the “Company’s Quarterly Report”) on Form 10-Q for the period ended September 30, 2024, as filed with the Securities and Exchange Commission on the date hereof (the “Report”), Dr. Keyvan Mohajer, as Chief Executive Officer and principal executive officer of the Company, hereby certifies, pursuant to 18 U.S.C. Section 1350, as adopted pursuant to Section 906 of the Sarbanes-Oxley Act of 2002, to the best of the undersigned’s knowledge and belief, that:</w:t>
      </w:r>
    </w:p>
    <w:p>
      <w:pPr>
        <w:spacing w:after="0" w:line="180" w:lineRule="exact"/>
        <w:rPr>
          <w:sz w:val="20"/>
          <w:szCs w:val="20"/>
          <w:color w:val="auto"/>
        </w:rPr>
      </w:pPr>
    </w:p>
    <w:p>
      <w:pPr>
        <w:ind w:left="640" w:hanging="316"/>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and</w:t>
      </w:r>
    </w:p>
    <w:p>
      <w:pPr>
        <w:spacing w:after="0" w:line="217" w:lineRule="exact"/>
        <w:rPr>
          <w:rFonts w:ascii="Times New Roman" w:cs="Times New Roman" w:eastAsia="Times New Roman" w:hAnsi="Times New Roman"/>
          <w:sz w:val="18"/>
          <w:szCs w:val="18"/>
          <w:color w:val="auto"/>
        </w:rPr>
      </w:pPr>
    </w:p>
    <w:p>
      <w:pPr>
        <w:ind w:left="640" w:hanging="316"/>
        <w:spacing w:after="0" w:line="274" w:lineRule="auto"/>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 as of the dates and for the periods expressed in the Report.</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 Dr.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24765</wp:posOffset>
            </wp:positionV>
            <wp:extent cx="333184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3331845" cy="8255"/>
                    </a:xfrm>
                    <a:prstGeom prst="rect">
                      <a:avLst/>
                    </a:prstGeom>
                    <a:noFill/>
                  </pic:spPr>
                </pic:pic>
              </a:graphicData>
            </a:graphic>
          </wp:anchor>
        </w:drawing>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Dr. Keyvan Mohajer</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 and Principal Executive Officer</w:t>
      </w:r>
    </w:p>
    <w:p>
      <w:pPr>
        <w:spacing w:after="0" w:line="3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November 12, 2024</w:t>
      </w:r>
    </w:p>
    <w:p>
      <w:pPr>
        <w:spacing w:after="0" w:line="323"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8"/>
          <w:szCs w:val="18"/>
          <w:color w:val="auto"/>
        </w:rPr>
        <w:t>This certification accompanies this Report pursuant to Section 906 of the Sarbanes-Oxley Act of 2002 and shall not be deemed filed by the Company for purposes of Section 18 of the Securities Exchange Act of 1934, as amended.</w:t>
      </w:r>
    </w:p>
    <w:p>
      <w:pPr>
        <w:sectPr>
          <w:pgSz w:w="11900" w:h="16838" w:orient="portrait"/>
          <w:cols w:equalWidth="0" w:num="1">
            <w:col w:w="11240"/>
          </w:cols>
          <w:pgMar w:left="320" w:top="1126"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§1350,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Quarterly Report of SoundHound AI, Inc. (the “Company’s Quarterly Report”) on Form 10-Q for the period ended September 30, 2024, as filed with the Securities and Exchange Commission on the date hereof (the “Report”), Nitesh Sharan, as Chief Financial Officer and principal financial officer of the Company, hereby certifies, pursuant to 18 U.S.C. Section 1350, as adopted pursuant to Section 906 of the Sarbanes-Oxley Act of 2002, to the best of the undersigned’s knowledge and belief, that:</w:t>
      </w:r>
    </w:p>
    <w:p>
      <w:pPr>
        <w:spacing w:after="0" w:line="180" w:lineRule="exact"/>
        <w:rPr>
          <w:sz w:val="20"/>
          <w:szCs w:val="20"/>
          <w:color w:val="auto"/>
        </w:rPr>
      </w:pPr>
    </w:p>
    <w:p>
      <w:pPr>
        <w:ind w:left="640" w:hanging="31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and</w:t>
      </w:r>
    </w:p>
    <w:p>
      <w:pPr>
        <w:spacing w:after="0" w:line="217" w:lineRule="exact"/>
        <w:rPr>
          <w:rFonts w:ascii="Times New Roman" w:cs="Times New Roman" w:eastAsia="Times New Roman" w:hAnsi="Times New Roman"/>
          <w:sz w:val="18"/>
          <w:szCs w:val="18"/>
          <w:color w:val="auto"/>
        </w:rPr>
      </w:pPr>
    </w:p>
    <w:p>
      <w:pPr>
        <w:ind w:left="640" w:hanging="316"/>
        <w:spacing w:after="0" w:line="274" w:lineRule="auto"/>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 as of the dates and for the periods expressed in the Report.</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 Nitesh Sharan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24765</wp:posOffset>
            </wp:positionV>
            <wp:extent cx="333184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3331845" cy="8255"/>
                    </a:xfrm>
                    <a:prstGeom prst="rect">
                      <a:avLst/>
                    </a:prstGeom>
                    <a:noFill/>
                  </pic:spPr>
                </pic:pic>
              </a:graphicData>
            </a:graphic>
          </wp:anchor>
        </w:drawing>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Nitesh Sharan</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 and Principal Financial Officer</w:t>
      </w:r>
    </w:p>
    <w:p>
      <w:pPr>
        <w:spacing w:after="0" w:line="3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November 12, 2024</w:t>
      </w:r>
    </w:p>
    <w:p>
      <w:pPr>
        <w:spacing w:after="0" w:line="230"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8"/>
          <w:szCs w:val="18"/>
          <w:color w:val="auto"/>
        </w:rPr>
        <w:t>This certification accompanies this Report pursuant to Section 906 of the Sarbanes-Oxley Act of 2002 and shall not be deemed filed by the Company for purposes of Section 18 of the Securities Exchange Act of 1934, as amended.</w:t>
      </w:r>
    </w:p>
    <w:sectPr>
      <w:pgSz w:w="11900" w:h="16838" w:orient="portrait"/>
      <w:cols w:equalWidth="0" w:num="1">
        <w:col w:w="11240"/>
      </w:cols>
      <w:pgMar w:left="320" w:top="11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decimal"/>
      <w:start w:val="4"/>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amp;"/>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1"/>
      <w:numFmt w:val="decimal"/>
      <w:start w:val="10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87" Type="http://schemas.openxmlformats.org/officeDocument/2006/relationships/hyperlink" Target="https://www.sec.gov/Archives/edgar/data/1840856/000121390024066351/ea021068001ex2-1_sound.htm" TargetMode="External"/><Relationship Id="rId88" Type="http://schemas.openxmlformats.org/officeDocument/2006/relationships/hyperlink" Target="https://www.sec.gov/Archives/edgar/data/1840856/000121390024066351/ea021068001ex10-1_soun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2024-11-12T16:44:43Z</dcterms:created>
  <dcterms:modified xsi:type="dcterms:W3CDTF">2024-11-12T16:44:43Z</dcterms:modified>
</cp:coreProperties>
</file>