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212529"/>
          <w:sz w:val="22"/>
        </w:rPr>
      </w:pPr>
      <w:r>
        <w:rPr>
          <w:rFonts w:ascii="Times New Roman;serif" w:hAnsi="Times New Roman;serif"/>
          <w:b/>
          <w:color w:val="212529"/>
          <w:sz w:val="22"/>
        </w:rPr>
        <w:t>UNITED STATES</w:t>
      </w:r>
    </w:p>
    <w:p>
      <w:pPr>
        <w:pStyle w:val="TextBody"/>
        <w:bidi w:val="0"/>
        <w:spacing w:lineRule="auto" w:line="288" w:before="0" w:after="0"/>
        <w:jc w:val="center"/>
        <w:rPr>
          <w:rFonts w:ascii="Times New Roman;serif" w:hAnsi="Times New Roman;serif"/>
          <w:b/>
          <w:color w:val="212529"/>
          <w:sz w:val="22"/>
        </w:rPr>
      </w:pPr>
      <w:r>
        <w:rPr>
          <w:rFonts w:ascii="Times New Roman;serif" w:hAnsi="Times New Roman;serif"/>
          <w:b/>
          <w:color w:val="212529"/>
          <w:sz w:val="22"/>
        </w:rPr>
        <w:t>SECURITIES AND EXCHANGE COMMISSION</w:t>
      </w:r>
    </w:p>
    <w:p>
      <w:pPr>
        <w:pStyle w:val="TextBody"/>
        <w:bidi w:val="0"/>
        <w:spacing w:lineRule="auto" w:line="288" w:before="0" w:after="0"/>
        <w:jc w:val="center"/>
        <w:rPr>
          <w:rFonts w:ascii="Times New Roman;serif" w:hAnsi="Times New Roman;serif"/>
          <w:b/>
          <w:color w:val="212529"/>
          <w:sz w:val="20"/>
        </w:rPr>
      </w:pPr>
      <w:r>
        <w:rPr>
          <w:rFonts w:ascii="Times New Roman;serif" w:hAnsi="Times New Roman;serif"/>
          <w:b/>
          <w:color w:val="212529"/>
          <w:sz w:val="20"/>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w:t>
      </w:r>
    </w:p>
    <w:p>
      <w:pPr>
        <w:pStyle w:val="TextBody"/>
        <w:bidi w:val="0"/>
        <w:spacing w:lineRule="auto" w:line="288" w:before="200" w:after="283"/>
        <w:jc w:val="center"/>
        <w:rPr>
          <w:rFonts w:ascii="Times New Roman;serif" w:hAnsi="Times New Roman;serif"/>
          <w:b/>
          <w:color w:val="212529"/>
          <w:sz w:val="24"/>
        </w:rPr>
      </w:pPr>
      <w:r>
        <w:rPr>
          <w:rFonts w:ascii="Times New Roman;serif" w:hAnsi="Times New Roman;serif"/>
          <w:b/>
          <w:color w:val="212529"/>
          <w:sz w:val="24"/>
        </w:rPr>
        <w:t>FORM 8-K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w:t>
      </w:r>
    </w:p>
    <w:p>
      <w:pPr>
        <w:pStyle w:val="TextBody"/>
        <w:bidi w:val="0"/>
        <w:spacing w:lineRule="auto" w:line="240" w:before="0" w:after="20"/>
        <w:jc w:val="left"/>
        <w:rPr>
          <w:color w:val="212529"/>
        </w:rPr>
      </w:pPr>
      <w:r>
        <w:rPr>
          <w:color w:val="212529"/>
        </w:rPr>
        <w:t> </w:t>
      </w:r>
    </w:p>
    <w:p>
      <w:pPr>
        <w:pStyle w:val="TextBody"/>
        <w:bidi w:val="0"/>
        <w:spacing w:lineRule="auto" w:line="288" w:before="120" w:after="283"/>
        <w:jc w:val="center"/>
        <w:rPr>
          <w:rFonts w:ascii="Times New Roman;serif" w:hAnsi="Times New Roman;serif"/>
          <w:b/>
          <w:color w:val="212529"/>
          <w:sz w:val="20"/>
        </w:rPr>
      </w:pPr>
      <w:r>
        <w:rPr>
          <w:rFonts w:ascii="Times New Roman;serif" w:hAnsi="Times New Roman;serif"/>
          <w:b/>
          <w:color w:val="212529"/>
          <w:sz w:val="20"/>
        </w:rPr>
        <w:t>CURRENT REPORT</w:t>
      </w:r>
    </w:p>
    <w:p>
      <w:pPr>
        <w:pStyle w:val="TextBody"/>
        <w:bidi w:val="0"/>
        <w:spacing w:lineRule="auto" w:line="288" w:before="120" w:after="283"/>
        <w:jc w:val="center"/>
        <w:rPr>
          <w:rFonts w:ascii="Times New Roman;serif" w:hAnsi="Times New Roman;serif"/>
          <w:b/>
          <w:color w:val="212529"/>
          <w:sz w:val="20"/>
        </w:rPr>
      </w:pPr>
      <w:r>
        <w:rPr>
          <w:rFonts w:ascii="Times New Roman;serif" w:hAnsi="Times New Roman;serif"/>
          <w:b/>
          <w:color w:val="212529"/>
          <w:sz w:val="20"/>
        </w:rPr>
        <w:t>Pursuant to Section 13 or 15(d)</w:t>
      </w:r>
    </w:p>
    <w:p>
      <w:pPr>
        <w:pStyle w:val="TextBody"/>
        <w:bidi w:val="0"/>
        <w:spacing w:lineRule="auto" w:line="288" w:before="0" w:after="0"/>
        <w:jc w:val="center"/>
        <w:rPr>
          <w:rFonts w:ascii="Times New Roman;serif" w:hAnsi="Times New Roman;serif"/>
          <w:b/>
          <w:color w:val="212529"/>
          <w:sz w:val="20"/>
        </w:rPr>
      </w:pPr>
      <w:r>
        <w:rPr>
          <w:rFonts w:ascii="Times New Roman;serif" w:hAnsi="Times New Roman;serif"/>
          <w:b/>
          <w:color w:val="212529"/>
          <w:sz w:val="20"/>
        </w:rPr>
        <w:t>of the Securities Exchange Act of 1934</w:t>
      </w:r>
    </w:p>
    <w:p>
      <w:pPr>
        <w:pStyle w:val="TextBody"/>
        <w:bidi w:val="0"/>
        <w:spacing w:lineRule="auto" w:line="288" w:before="120" w:after="283"/>
        <w:jc w:val="center"/>
        <w:rPr/>
      </w:pPr>
      <w:r>
        <w:rPr>
          <w:rFonts w:ascii="Times New Roman;serif" w:hAnsi="Times New Roman;serif"/>
          <w:b w:val="false"/>
          <w:color w:val="212529"/>
          <w:sz w:val="20"/>
        </w:rPr>
        <w:t>Date of Report (Date of earliest event reported): </w:t>
      </w:r>
      <w:r>
        <w:rPr>
          <w:rFonts w:ascii="Times New Roman;serif" w:hAnsi="Times New Roman;serif"/>
          <w:b/>
          <w:color w:val="212529"/>
          <w:sz w:val="20"/>
        </w:rPr>
        <w:t>November 6, 2025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w:t>
      </w:r>
    </w:p>
    <w:p>
      <w:pPr>
        <w:pStyle w:val="TextBody"/>
        <w:bidi w:val="0"/>
        <w:spacing w:lineRule="auto" w:line="288" w:before="120" w:after="283"/>
        <w:jc w:val="center"/>
        <w:rPr>
          <w:rFonts w:ascii="Times New Roman;serif" w:hAnsi="Times New Roman;serif"/>
          <w:b/>
          <w:color w:val="212529"/>
          <w:sz w:val="22"/>
        </w:rPr>
      </w:pPr>
      <w:r>
        <w:rPr>
          <w:rFonts w:ascii="Times New Roman;serif" w:hAnsi="Times New Roman;serif"/>
          <w:b/>
          <w:color w:val="212529"/>
          <w:sz w:val="22"/>
        </w:rPr>
        <w:t>SOUNDHOUND AI, INC.</w:t>
      </w:r>
    </w:p>
    <w:p>
      <w:pPr>
        <w:pStyle w:val="TextBody"/>
        <w:bidi w:val="0"/>
        <w:spacing w:lineRule="auto" w:line="288" w:before="0" w:after="0"/>
        <w:jc w:val="center"/>
        <w:rPr>
          <w:rFonts w:ascii="Times New Roman;serif" w:hAnsi="Times New Roman;serif"/>
          <w:b w:val="false"/>
          <w:color w:val="212529"/>
          <w:sz w:val="20"/>
        </w:rPr>
      </w:pPr>
      <w:r>
        <w:rPr>
          <w:rFonts w:ascii="Times New Roman;serif" w:hAnsi="Times New Roman;serif"/>
          <w:b w:val="false"/>
          <w:color w:val="212529"/>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w:t>
      </w:r>
    </w:p>
    <w:tbl>
      <w:tblPr>
        <w:tblW w:w="6096" w:type="dxa"/>
        <w:jc w:val="left"/>
        <w:tblInd w:w="0" w:type="dxa"/>
        <w:tblLayout w:type="fixed"/>
        <w:tblCellMar>
          <w:top w:w="28" w:type="dxa"/>
          <w:left w:w="28" w:type="dxa"/>
          <w:bottom w:w="28" w:type="dxa"/>
          <w:right w:w="28" w:type="dxa"/>
        </w:tblCellMar>
      </w:tblPr>
      <w:tblGrid>
        <w:gridCol w:w="814"/>
        <w:gridCol w:w="714"/>
        <w:gridCol w:w="721"/>
        <w:gridCol w:w="109"/>
        <w:gridCol w:w="109"/>
        <w:gridCol w:w="109"/>
        <w:gridCol w:w="513"/>
        <w:gridCol w:w="513"/>
        <w:gridCol w:w="518"/>
        <w:gridCol w:w="109"/>
        <w:gridCol w:w="109"/>
        <w:gridCol w:w="109"/>
        <w:gridCol w:w="481"/>
        <w:gridCol w:w="481"/>
        <w:gridCol w:w="687"/>
      </w:tblGrid>
      <w:tr>
        <w:trPr/>
        <w:tc>
          <w:tcPr>
            <w:tcW w:w="8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001-40193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85-1286799</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tbl>
      <w:tblPr>
        <w:tblW w:w="4661" w:type="dxa"/>
        <w:jc w:val="left"/>
        <w:tblInd w:w="0" w:type="dxa"/>
        <w:tblLayout w:type="fixed"/>
        <w:tblCellMar>
          <w:top w:w="28" w:type="dxa"/>
          <w:left w:w="28" w:type="dxa"/>
          <w:bottom w:w="28" w:type="dxa"/>
          <w:right w:w="28" w:type="dxa"/>
        </w:tblCellMar>
      </w:tblPr>
      <w:tblGrid>
        <w:gridCol w:w="1194"/>
        <w:gridCol w:w="1051"/>
        <w:gridCol w:w="1054"/>
        <w:gridCol w:w="109"/>
        <w:gridCol w:w="109"/>
        <w:gridCol w:w="109"/>
        <w:gridCol w:w="303"/>
        <w:gridCol w:w="303"/>
        <w:gridCol w:w="429"/>
      </w:tblGrid>
      <w:tr>
        <w:trPr/>
        <w:tc>
          <w:tcPr>
            <w:tcW w:w="119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5400 Betsy Ross Drive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Santa Clara, 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95054</w:t>
            </w:r>
          </w:p>
        </w:tc>
      </w:tr>
      <w:tr>
        <w:trPr/>
        <w:tc>
          <w:tcPr>
            <w:tcW w:w="3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20" w:after="283"/>
        <w:jc w:val="center"/>
        <w:rPr>
          <w:rFonts w:ascii="Times New Roman;serif" w:hAnsi="Times New Roman;serif"/>
          <w:b w:val="false"/>
          <w:color w:val="212529"/>
          <w:sz w:val="20"/>
        </w:rPr>
      </w:pPr>
      <w:r>
        <w:rPr>
          <w:rFonts w:ascii="Times New Roman;serif" w:hAnsi="Times New Roman;serif"/>
          <w:b w:val="false"/>
          <w:color w:val="212529"/>
          <w:sz w:val="20"/>
        </w:rPr>
        <w:t>Registrant’s telephone number, including area code: (408) 441-3200</w:t>
      </w:r>
    </w:p>
    <w:p>
      <w:pPr>
        <w:pStyle w:val="TextBody"/>
        <w:bidi w:val="0"/>
        <w:spacing w:lineRule="auto" w:line="288" w:before="120" w:after="283"/>
        <w:jc w:val="center"/>
        <w:rPr>
          <w:rFonts w:ascii="Times New Roman;serif" w:hAnsi="Times New Roman;serif"/>
          <w:b w:val="false"/>
          <w:color w:val="212529"/>
          <w:sz w:val="20"/>
        </w:rPr>
      </w:pPr>
      <w:r>
        <w:rPr>
          <w:rFonts w:ascii="Times New Roman;serif" w:hAnsi="Times New Roman;serif"/>
          <w:b w:val="false"/>
          <w:color w:val="212529"/>
          <w:sz w:val="20"/>
        </w:rPr>
        <w:t>(Former name or former address, if changed since last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w:t>
      </w:r>
    </w:p>
    <w:p>
      <w:pPr>
        <w:pStyle w:val="TextBody"/>
        <w:bidi w:val="0"/>
        <w:spacing w:lineRule="auto" w:line="288" w:before="120" w:after="283"/>
        <w:jc w:val="left"/>
        <w:rPr>
          <w:rFonts w:ascii="Times New Roman;serif" w:hAnsi="Times New Roman;serif"/>
          <w:b w:val="false"/>
          <w:color w:val="212529"/>
          <w:sz w:val="20"/>
        </w:rPr>
      </w:pPr>
      <w:r>
        <w:rPr>
          <w:rFonts w:ascii="Times New Roman;serif" w:hAnsi="Times New Roman;serif"/>
          <w:b w:val="false"/>
          <w:color w:val="212529"/>
          <w:sz w:val="20"/>
        </w:rPr>
        <w:t>Check the appropriate box below if the Form 8-K filing is intended to simultaneously satisfy the filing obligation of the registrant under any of the following provisions (see 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10205" w:type="dxa"/>
        <w:jc w:val="left"/>
        <w:tblInd w:w="0" w:type="dxa"/>
        <w:tblLayout w:type="fixed"/>
        <w:tblCellMar>
          <w:top w:w="28" w:type="dxa"/>
          <w:left w:w="28" w:type="dxa"/>
          <w:bottom w:w="28" w:type="dxa"/>
          <w:right w:w="28" w:type="dxa"/>
        </w:tblCellMar>
      </w:tblPr>
      <w:tblGrid>
        <w:gridCol w:w="2299"/>
        <w:gridCol w:w="1803"/>
        <w:gridCol w:w="1824"/>
        <w:gridCol w:w="109"/>
        <w:gridCol w:w="109"/>
        <w:gridCol w:w="109"/>
        <w:gridCol w:w="387"/>
        <w:gridCol w:w="387"/>
        <w:gridCol w:w="389"/>
        <w:gridCol w:w="109"/>
        <w:gridCol w:w="109"/>
        <w:gridCol w:w="109"/>
        <w:gridCol w:w="718"/>
        <w:gridCol w:w="718"/>
        <w:gridCol w:w="1026"/>
      </w:tblGrid>
      <w:tr>
        <w:trPr/>
        <w:tc>
          <w:tcPr>
            <w:tcW w:w="2299"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5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59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$0.0001 par value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SOUN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5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Warrants, each exercisable for one share of Class A Common Stock at an exercise price of $11.50 per share, subject to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SOUNW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20" w:after="283"/>
        <w:jc w:val="left"/>
        <w:rPr>
          <w:rFonts w:ascii="Times New Roman;serif" w:hAnsi="Times New Roman;serif"/>
          <w:b w:val="false"/>
          <w:color w:val="212529"/>
          <w:sz w:val="20"/>
        </w:rPr>
      </w:pPr>
      <w:r>
        <w:rPr>
          <w:rFonts w:ascii="Times New Roman;serif" w:hAnsi="Times New Roman;serif"/>
          <w:b w:val="false"/>
          <w:color w:val="212529"/>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pPr>
      <w:r>
        <w:rPr>
          <w:rFonts w:ascii="Times New Roman;serif" w:hAnsi="Times New Roman;serif"/>
          <w:b w:val="false"/>
          <w:color w:val="212529"/>
          <w:sz w:val="20"/>
        </w:rPr>
        <w:t>Emerging growth company </w:t>
      </w:r>
      <w:r>
        <w:rPr>
          <w:color w:val="212529"/>
        </w:rPr>
        <w:t>☐</w:t>
      </w:r>
    </w:p>
    <w:p>
      <w:pPr>
        <w:pStyle w:val="TextBody"/>
        <w:bidi w:val="0"/>
        <w:spacing w:lineRule="auto" w:line="288" w:before="120" w:after="283"/>
        <w:jc w:val="both"/>
        <w:rPr/>
      </w:pPr>
      <w:r>
        <w:rPr>
          <w:rFonts w:ascii="Times New Roman;serif" w:hAnsi="Times New Roman;serif"/>
          <w:b w:val="false"/>
          <w:color w:val="212529"/>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212529"/>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hanging="117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200" w:after="283"/>
        <w:jc w:val="both"/>
        <w:rPr/>
      </w:pPr>
      <w:r>
        <w:rPr>
          <w:rFonts w:ascii="Times New Roman;serif" w:hAnsi="Times New Roman;serif"/>
          <w:b w:val="false"/>
          <w:color w:val="212529"/>
          <w:sz w:val="20"/>
        </w:rPr>
        <w:t xml:space="preserve">On </w:t>
      </w:r>
      <w:r>
        <w:rPr>
          <w:rFonts w:ascii="Times New Roman;serif" w:hAnsi="Times New Roman;serif"/>
          <w:b w:val="false"/>
          <w:color w:val="000000"/>
          <w:sz w:val="20"/>
        </w:rPr>
        <w:t>November 6, 2025</w:t>
      </w:r>
      <w:r>
        <w:rPr>
          <w:rFonts w:ascii="Times New Roman;serif" w:hAnsi="Times New Roman;serif"/>
          <w:b w:val="false"/>
          <w:color w:val="212529"/>
          <w:sz w:val="20"/>
        </w:rPr>
        <w:t xml:space="preserve">, SoundHound AI, Inc. (the “Company”) issued a press release announcing financial results and operational highlights for the third quarter ended </w:t>
      </w:r>
      <w:r>
        <w:rPr>
          <w:rFonts w:ascii="Times New Roman;serif" w:hAnsi="Times New Roman;serif"/>
          <w:b w:val="false"/>
          <w:color w:val="000000"/>
          <w:sz w:val="20"/>
        </w:rPr>
        <w:t>September 30, 2025</w:t>
      </w:r>
      <w:r>
        <w:rPr>
          <w:rFonts w:ascii="Times New Roman;serif" w:hAnsi="Times New Roman;serif"/>
          <w:b w:val="false"/>
          <w:color w:val="212529"/>
          <w:sz w:val="20"/>
        </w:rPr>
        <w:t xml:space="preserve">. A copy of the press release is furnished as Exhibit 99.1 to this current report on Form 8-K. The Company is also furnishing as Exhibit 99.2 to this current report on Form 8-K the condensed consolidated balance sheets of the Company as of </w:t>
      </w:r>
      <w:r>
        <w:rPr>
          <w:rFonts w:ascii="Times New Roman;serif" w:hAnsi="Times New Roman;serif"/>
          <w:b w:val="false"/>
          <w:color w:val="000000"/>
          <w:sz w:val="20"/>
        </w:rPr>
        <w:t>September 30, 2025</w:t>
      </w:r>
      <w:r>
        <w:rPr>
          <w:rFonts w:ascii="Times New Roman;serif" w:hAnsi="Times New Roman;serif"/>
          <w:b w:val="false"/>
          <w:color w:val="212529"/>
          <w:sz w:val="20"/>
        </w:rPr>
        <w:t xml:space="preserve">, and the related condensed consolidated statements of operations and comprehensive loss and condensed consolidated statements of cash flows for the period ended </w:t>
      </w:r>
      <w:r>
        <w:rPr>
          <w:rFonts w:ascii="Times New Roman;serif" w:hAnsi="Times New Roman;serif"/>
          <w:b w:val="false"/>
          <w:color w:val="000000"/>
          <w:sz w:val="20"/>
        </w:rPr>
        <w:t>September 30, 2025</w:t>
      </w:r>
      <w:r>
        <w:rPr>
          <w:rFonts w:ascii="Times New Roman;serif" w:hAnsi="Times New Roman;serif"/>
          <w:b w:val="false"/>
          <w:color w:val="212529"/>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 and Exhibits.</w:t>
      </w:r>
    </w:p>
    <w:tbl>
      <w:tblPr>
        <w:tblW w:w="6971" w:type="dxa"/>
        <w:jc w:val="left"/>
        <w:tblInd w:w="0" w:type="dxa"/>
        <w:tblLayout w:type="fixed"/>
        <w:tblCellMar>
          <w:top w:w="28" w:type="dxa"/>
          <w:left w:w="28" w:type="dxa"/>
          <w:bottom w:w="28" w:type="dxa"/>
          <w:right w:w="28" w:type="dxa"/>
        </w:tblCellMar>
      </w:tblPr>
      <w:tblGrid>
        <w:gridCol w:w="538"/>
        <w:gridCol w:w="472"/>
        <w:gridCol w:w="474"/>
        <w:gridCol w:w="109"/>
        <w:gridCol w:w="109"/>
        <w:gridCol w:w="109"/>
        <w:gridCol w:w="1507"/>
        <w:gridCol w:w="1507"/>
        <w:gridCol w:w="2146"/>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w:anchor="soun-20251006ex991earnings.htm">
              <w:r>
                <w:rPr>
                  <w:rStyle w:val="InternetLink"/>
                  <w:rFonts w:ascii="Times New Roman;serif" w:hAnsi="Times New Roman;serif"/>
                  <w:b w:val="false"/>
                  <w:color w:val="0000FF"/>
                  <w:sz w:val="20"/>
                  <w:u w:val="single"/>
                </w:rPr>
                <w:t>Press Release, dated November 6, 2025</w:t>
              </w:r>
            </w:hyperlink>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soun-20251006ex992financia.htm">
              <w:r>
                <w:rPr>
                  <w:rStyle w:val="InternetLink"/>
                  <w:rFonts w:ascii="Times New Roman;serif" w:hAnsi="Times New Roman;serif"/>
                  <w:b w:val="false"/>
                  <w:color w:val="0000FF"/>
                  <w:sz w:val="20"/>
                  <w:u w:val="single"/>
                </w:rPr>
                <w:t>Financial statements for the period ended September 30, 2025</w:t>
              </w:r>
            </w:hyperlink>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212529"/>
          <w:sz w:val="20"/>
        </w:rPr>
      </w:pPr>
      <w:r>
        <w:rPr>
          <w:rFonts w:ascii="Times New Roman;serif" w:hAnsi="Times New Roman;serif"/>
          <w:b/>
          <w:color w:val="212529"/>
          <w:sz w:val="20"/>
        </w:rPr>
        <w:t>SIGNATURE</w:t>
      </w:r>
    </w:p>
    <w:p>
      <w:pPr>
        <w:pStyle w:val="TextBody"/>
        <w:bidi w:val="0"/>
        <w:spacing w:lineRule="auto" w:line="288" w:before="200" w:after="283"/>
        <w:jc w:val="both"/>
        <w:rPr>
          <w:rFonts w:ascii="Times New Roman;serif" w:hAnsi="Times New Roman;serif"/>
          <w:b w:val="false"/>
          <w:color w:val="212529"/>
          <w:sz w:val="20"/>
        </w:rPr>
      </w:pPr>
      <w:r>
        <w:rPr>
          <w:rFonts w:ascii="Times New Roman;serif" w:hAnsi="Times New Roman;serif"/>
          <w:b w:val="false"/>
          <w:color w:val="212529"/>
          <w:sz w:val="20"/>
        </w:rPr>
        <w:t>Pursuant to the requirements of the Securities Exchange Act of 1934, the registrant has duly caused this Current Report on Form 8-K to be signed on its behalf by the undersigned hereunto duly authorized.</w:t>
      </w:r>
    </w:p>
    <w:tbl>
      <w:tblPr>
        <w:tblW w:w="5091" w:type="dxa"/>
        <w:jc w:val="left"/>
        <w:tblInd w:w="0" w:type="dxa"/>
        <w:tblLayout w:type="fixed"/>
        <w:tblCellMar>
          <w:top w:w="28" w:type="dxa"/>
          <w:left w:w="28" w:type="dxa"/>
          <w:bottom w:w="28" w:type="dxa"/>
          <w:right w:w="28" w:type="dxa"/>
        </w:tblCellMar>
      </w:tblPr>
      <w:tblGrid>
        <w:gridCol w:w="587"/>
        <w:gridCol w:w="516"/>
        <w:gridCol w:w="517"/>
        <w:gridCol w:w="196"/>
        <w:gridCol w:w="196"/>
        <w:gridCol w:w="196"/>
        <w:gridCol w:w="271"/>
        <w:gridCol w:w="271"/>
        <w:gridCol w:w="271"/>
        <w:gridCol w:w="597"/>
        <w:gridCol w:w="597"/>
        <w:gridCol w:w="876"/>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6, 2025</w:t>
            </w:r>
          </w:p>
        </w:tc>
        <w:tc>
          <w:tcPr>
            <w:tcW w:w="3471"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SoundHound AI, Inc.</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88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Keyvan Mohajer</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Keyvan Mohajer</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00" w:after="160"/>
        <w:jc w:val="both"/>
        <w:rPr>
          <w:rFonts w:ascii="Times New Roman;serif" w:hAnsi="Times New Roman;serif"/>
          <w:b/>
          <w:color w:val="000000"/>
          <w:sz w:val="24"/>
        </w:rPr>
      </w:pPr>
      <w:r>
        <w:rPr>
          <w:rFonts w:ascii="Times New Roman;serif" w:hAnsi="Times New Roman;serif"/>
          <w:b/>
          <w:color w:val="000000"/>
          <w:sz w:val="24"/>
        </w:rPr>
        <w:t>SoundHound AI Reports Record Q3 Revenue of $42 Million, Up 68%, Raises Full Year Outlook; $269 Million in Cash</w:t>
      </w:r>
    </w:p>
    <w:p>
      <w:pPr>
        <w:pStyle w:val="TextBody"/>
        <w:bidi w:val="0"/>
        <w:spacing w:lineRule="auto" w:line="288" w:before="100" w:after="360"/>
        <w:jc w:val="both"/>
        <w:rPr>
          <w:rFonts w:ascii="Times New Roman;serif" w:hAnsi="Times New Roman;serif"/>
          <w:b w:val="false"/>
          <w:i/>
          <w:color w:val="000000"/>
          <w:sz w:val="24"/>
        </w:rPr>
      </w:pPr>
      <w:r>
        <w:rPr>
          <w:rFonts w:ascii="Times New Roman;serif" w:hAnsi="Times New Roman;serif"/>
          <w:b w:val="false"/>
          <w:i/>
          <w:color w:val="000000"/>
          <w:sz w:val="24"/>
        </w:rPr>
        <w:t>The company extends presence within key vertical markets, forging new strategic partnerships that strengthen AI leadership through its Agentic+ framework</w:t>
      </w:r>
    </w:p>
    <w:p>
      <w:pPr>
        <w:pStyle w:val="TextBody"/>
        <w:bidi w:val="0"/>
        <w:spacing w:lineRule="auto" w:line="288" w:before="100" w:after="360"/>
        <w:jc w:val="both"/>
        <w:rPr>
          <w:rFonts w:ascii="Times New Roman;serif" w:hAnsi="Times New Roman;serif"/>
          <w:b w:val="false"/>
          <w:color w:val="000000"/>
          <w:sz w:val="24"/>
        </w:rPr>
      </w:pPr>
      <w:r>
        <w:rPr>
          <w:rFonts w:ascii="Times New Roman;serif" w:hAnsi="Times New Roman;serif"/>
          <w:b w:val="false"/>
          <w:color w:val="000000"/>
          <w:sz w:val="24"/>
        </w:rPr>
        <w:t>SANTA CLARA, Calif.--SoundHound AI, Inc. (Nasdaq: SOUN), a global leader in voice and conversational AI, today reported its financial results for the third quarter 2025.</w:t>
      </w:r>
    </w:p>
    <w:p>
      <w:pPr>
        <w:pStyle w:val="TextBody"/>
        <w:bidi w:val="0"/>
        <w:spacing w:lineRule="auto" w:line="276" w:before="0" w:after="0"/>
        <w:jc w:val="both"/>
        <w:rPr/>
      </w:pPr>
      <w:r>
        <w:rPr>
          <w:color w:val="000000"/>
        </w:rPr>
        <w:t>“</w:t>
      </w:r>
      <w:r>
        <w:rPr>
          <w:rFonts w:ascii="Times New Roman;serif" w:hAnsi="Times New Roman;serif"/>
          <w:b w:val="false"/>
          <w:i/>
          <w:color w:val="000000"/>
          <w:sz w:val="24"/>
        </w:rPr>
        <w:t xml:space="preserve">Enterprise AI adoption is booming globally, and SoundHound is strengthening its leading position with deployments in millions of end points across highly diversified industries and customers,” </w:t>
      </w:r>
      <w:r>
        <w:rPr>
          <w:rFonts w:ascii="Times New Roman;serif" w:hAnsi="Times New Roman;serif"/>
          <w:b/>
          <w:i/>
          <w:color w:val="000000"/>
          <w:sz w:val="24"/>
        </w:rPr>
        <w:t>said Keyvan Mohajer, CEO and Co-Founder of SoundHound AI</w:t>
      </w:r>
      <w:r>
        <w:rPr>
          <w:rFonts w:ascii="Times New Roman;serif" w:hAnsi="Times New Roman;serif"/>
          <w:b w:val="false"/>
          <w:i/>
          <w:color w:val="000000"/>
          <w:sz w:val="24"/>
        </w:rPr>
        <w:t>. “We see enormous potential in the near and long-term horizon, and we’re positioning our business to take full advantage.”</w:t>
      </w:r>
    </w:p>
    <w:p>
      <w:pPr>
        <w:pStyle w:val="TextBody"/>
        <w:bidi w:val="0"/>
        <w:spacing w:before="0" w:after="0"/>
        <w:jc w:val="both"/>
        <w:rPr/>
      </w:pPr>
      <w:r>
        <w:rPr/>
      </w:r>
    </w:p>
    <w:p>
      <w:pPr>
        <w:pStyle w:val="TextBody"/>
        <w:bidi w:val="0"/>
        <w:spacing w:lineRule="auto" w:line="288" w:before="0" w:after="100"/>
        <w:jc w:val="left"/>
        <w:rPr>
          <w:rFonts w:ascii="Times New Roman;serif" w:hAnsi="Times New Roman;serif"/>
          <w:b/>
          <w:color w:val="1D2228"/>
          <w:sz w:val="24"/>
        </w:rPr>
      </w:pPr>
      <w:r>
        <w:rPr>
          <w:rFonts w:ascii="Times New Roman;serif" w:hAnsi="Times New Roman;serif"/>
          <w:b/>
          <w:color w:val="1D2228"/>
          <w:sz w:val="24"/>
        </w:rPr>
        <w:t>Third Quarter Financial Highlights</w:t>
      </w:r>
    </w:p>
    <w:p>
      <w:pPr>
        <w:pStyle w:val="TextBody"/>
        <w:bidi w:val="0"/>
        <w:spacing w:lineRule="auto" w:line="288" w:before="0" w:after="0"/>
        <w:ind w:left="0" w:right="0" w:hanging="360"/>
        <w:jc w:val="both"/>
        <w:rPr/>
      </w:pPr>
      <w:r>
        <w:rPr>
          <w:color w:val="1D2228"/>
        </w:rPr>
        <w:t>•</w:t>
      </w:r>
      <w:r>
        <w:rPr>
          <w:rFonts w:ascii="Times New Roman;serif" w:hAnsi="Times New Roman;serif"/>
          <w:b w:val="false"/>
          <w:color w:val="1D2228"/>
          <w:sz w:val="24"/>
        </w:rPr>
        <w:t>R</w:t>
      </w:r>
      <w:r>
        <w:rPr>
          <w:rFonts w:ascii="Times New Roman;serif" w:hAnsi="Times New Roman;serif"/>
          <w:b w:val="false"/>
          <w:color w:val="000000"/>
          <w:sz w:val="24"/>
        </w:rPr>
        <w:t>eported revenue was $42.0 million, an increase of 68% year-over-year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GAAP gross margin was 42.6%; non-GAAP gross margin was 59.3%</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GAAP net loss was $(109.3) million; non-GAAP net loss was $(13.0) million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Adjusted EBITDA was a loss of $(14.5) million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GAAP earnings per share was a loss of $(0.27); non-GAAP earnings per share was a loss of $(0.03)</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4"/>
        </w:rPr>
        <w:t xml:space="preserve">GAAP results include a loss from the calculated fair value of contingent acquisition liabilities where future earnout shares are marked-to-market on a quarterly basis based on the company’s stock price. Non-GAAP measures exclude this non-operating/non-cash impact. </w:t>
      </w:r>
    </w:p>
    <w:p>
      <w:pPr>
        <w:pStyle w:val="TextBody"/>
        <w:bidi w:val="0"/>
        <w:spacing w:before="0" w:after="0"/>
        <w:jc w:val="both"/>
        <w:rPr/>
      </w:pPr>
      <w:r>
        <w:rPr/>
      </w:r>
    </w:p>
    <w:p>
      <w:pPr>
        <w:pStyle w:val="TextBody"/>
        <w:bidi w:val="0"/>
        <w:spacing w:lineRule="auto" w:line="288"/>
        <w:jc w:val="both"/>
        <w:rPr/>
      </w:pPr>
      <w:r>
        <w:rPr>
          <w:color w:val="000000"/>
        </w:rPr>
        <w:t>“</w:t>
      </w:r>
      <w:r>
        <w:rPr>
          <w:rFonts w:ascii="Times New Roman;serif" w:hAnsi="Times New Roman;serif"/>
          <w:b w:val="false"/>
          <w:i/>
          <w:color w:val="000000"/>
          <w:sz w:val="24"/>
        </w:rPr>
        <w:t xml:space="preserve">Q3 was another strong mile marker on our journey to transform human-computer interfaces through natural language conversations and voice AI that makes technology more seamless and accessible," </w:t>
      </w:r>
      <w:r>
        <w:rPr>
          <w:rFonts w:ascii="Times New Roman;serif" w:hAnsi="Times New Roman;serif"/>
          <w:b/>
          <w:i/>
          <w:color w:val="000000"/>
          <w:sz w:val="24"/>
        </w:rPr>
        <w:t>said Nitesh Sharan, CFO of SoundHound AI.</w:t>
      </w:r>
      <w:r>
        <w:rPr>
          <w:color w:val="000000"/>
        </w:rPr>
        <w:t xml:space="preserve"> </w:t>
      </w:r>
      <w:r>
        <w:rPr>
          <w:rFonts w:ascii="Times New Roman;serif" w:hAnsi="Times New Roman;serif"/>
          <w:b w:val="false"/>
          <w:i/>
          <w:color w:val="000000"/>
          <w:sz w:val="24"/>
        </w:rPr>
        <w:t>"We continue to deliver high growth with a diverse customer base, expanding product suite and a balance sheet that enables us to stay on the offense.”</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60"/>
        <w:jc w:val="both"/>
        <w:rPr>
          <w:rFonts w:ascii="Times New Roman;serif" w:hAnsi="Times New Roman;serif"/>
          <w:b/>
          <w:color w:val="000000"/>
          <w:sz w:val="26"/>
        </w:rPr>
      </w:pPr>
      <w:r>
        <w:rPr>
          <w:rFonts w:ascii="Times New Roman;serif" w:hAnsi="Times New Roman;serif"/>
          <w:b/>
          <w:color w:val="000000"/>
          <w:sz w:val="26"/>
        </w:rPr>
        <w:t xml:space="preserve">Business Highlights </w:t>
      </w:r>
    </w:p>
    <w:p>
      <w:pPr>
        <w:pStyle w:val="TextBody"/>
        <w:bidi w:val="0"/>
        <w:spacing w:lineRule="auto" w:line="288" w:before="100" w:after="283"/>
        <w:ind w:left="0" w:right="0" w:hanging="360"/>
        <w:jc w:val="both"/>
        <w:rPr/>
      </w:pPr>
      <w:r>
        <w:rPr>
          <w:color w:val="000000"/>
        </w:rPr>
        <w:t>•</w:t>
      </w:r>
      <w:r>
        <w:rPr>
          <w:rFonts w:ascii="Times New Roman;serif" w:hAnsi="Times New Roman;serif"/>
          <w:b/>
          <w:color w:val="000000"/>
          <w:sz w:val="24"/>
        </w:rPr>
        <w:t xml:space="preserve">Agentic AI: </w:t>
      </w:r>
      <w:r>
        <w:rPr>
          <w:rFonts w:ascii="Times New Roman;serif" w:hAnsi="Times New Roman;serif"/>
          <w:b w:val="false"/>
          <w:color w:val="000000"/>
          <w:sz w:val="24"/>
        </w:rPr>
        <w:t xml:space="preserve">Amelia 7.3 update incorporates Speech-to-Meaning® to deliver industry-leading latency and even more natural voice experiences for customers. This further enhances the platform’s Agentic+ framework – a unique and flexible combination of generative AI, multi-agent autonomous orchestration, and deterministic models. </w:t>
      </w:r>
    </w:p>
    <w:p>
      <w:pPr>
        <w:pStyle w:val="TextBody"/>
        <w:bidi w:val="0"/>
        <w:spacing w:lineRule="auto" w:line="288" w:before="100" w:after="283"/>
        <w:ind w:left="0" w:right="0" w:hanging="360"/>
        <w:jc w:val="both"/>
        <w:rPr/>
      </w:pPr>
      <w:r>
        <w:rPr>
          <w:color w:val="000000"/>
        </w:rPr>
        <w:t>•</w:t>
      </w:r>
      <w:r>
        <w:rPr>
          <w:rFonts w:ascii="Times New Roman;serif" w:hAnsi="Times New Roman;serif"/>
          <w:b/>
          <w:color w:val="000000"/>
          <w:sz w:val="24"/>
        </w:rPr>
        <w:t xml:space="preserve">Voice Commerce: </w:t>
      </w:r>
      <w:r>
        <w:rPr>
          <w:rFonts w:ascii="Times New Roman;serif" w:hAnsi="Times New Roman;serif"/>
          <w:b w:val="false"/>
          <w:color w:val="000000"/>
          <w:sz w:val="24"/>
        </w:rPr>
        <w:t xml:space="preserve">In-vehicle monetization now includes restaurant reservations and parking payments alongside voice ordering, with global OEMs engaged to launch in 2026. Tech platform giants are also poised to deploy voice ordering capabilities to millions of users. </w:t>
      </w:r>
    </w:p>
    <w:p>
      <w:pPr>
        <w:pStyle w:val="TextBody"/>
        <w:bidi w:val="0"/>
        <w:spacing w:lineRule="auto" w:line="288" w:before="100" w:after="283"/>
        <w:ind w:left="0" w:right="0" w:hanging="360"/>
        <w:jc w:val="both"/>
        <w:rPr/>
      </w:pPr>
      <w:r>
        <w:rPr>
          <w:color w:val="000000"/>
        </w:rPr>
        <w:t>•</w:t>
      </w:r>
      <w:r>
        <w:rPr>
          <w:rFonts w:ascii="Times New Roman;serif" w:hAnsi="Times New Roman;serif"/>
          <w:b/>
          <w:color w:val="000000"/>
          <w:sz w:val="24"/>
        </w:rPr>
        <w:t xml:space="preserve">IoT and Robotics: </w:t>
      </w:r>
      <w:r>
        <w:rPr>
          <w:rFonts w:ascii="Times New Roman;serif" w:hAnsi="Times New Roman;serif"/>
          <w:b w:val="false"/>
          <w:color w:val="000000"/>
          <w:sz w:val="24"/>
        </w:rPr>
        <w:t>Won a large deal to integrate SoundHound Chat AI into a minimum commitment of double digit millions of AI-enabled smart devices developed by a large China-based company offering intelligence-based interaction in hardware and software products.</w:t>
      </w:r>
    </w:p>
    <w:p>
      <w:pPr>
        <w:pStyle w:val="TextBody"/>
        <w:bidi w:val="0"/>
        <w:spacing w:lineRule="auto" w:line="288" w:before="100" w:after="283"/>
        <w:ind w:left="0" w:right="0" w:hanging="360"/>
        <w:jc w:val="both"/>
        <w:rPr/>
      </w:pPr>
      <w:r>
        <w:rPr>
          <w:color w:val="000000"/>
        </w:rPr>
        <w:t>•</w:t>
      </w:r>
      <w:r>
        <w:rPr>
          <w:rFonts w:ascii="Times New Roman;serif" w:hAnsi="Times New Roman;serif"/>
          <w:b/>
          <w:color w:val="000000"/>
          <w:sz w:val="24"/>
        </w:rPr>
        <w:t>Automotive</w:t>
      </w:r>
      <w:r>
        <w:rPr>
          <w:rFonts w:ascii="Times New Roman;serif" w:hAnsi="Times New Roman;serif"/>
          <w:b w:val="false"/>
          <w:color w:val="000000"/>
          <w:sz w:val="24"/>
        </w:rPr>
        <w:t xml:space="preserve">: </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4"/>
        </w:rPr>
        <w:t xml:space="preserve">Working with major globally renowned sports car brand to launch a custom “personality” for its assistant </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4"/>
        </w:rPr>
        <w:t xml:space="preserve">Flagship Chat AI voice technology now available in Jeep vehicles across Europe </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4"/>
        </w:rPr>
        <w:t>Expanded throughout Germany with growing EV automaker, Togg</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4"/>
        </w:rPr>
        <w:t>Signed an Italian-based commercial vehicle company offering SoundHound’s voice AI technology to its wide range of fleet vehicles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4"/>
        </w:rPr>
        <w:t>Signed deals to integrate SoundHound’s advanced voice capabilities with two prominent two-wheeler brands in expansive Indian market</w:t>
      </w:r>
    </w:p>
    <w:p>
      <w:pPr>
        <w:pStyle w:val="TextBody"/>
        <w:bidi w:val="0"/>
        <w:spacing w:lineRule="auto" w:line="288" w:before="100" w:after="283"/>
        <w:ind w:left="0" w:right="0" w:hanging="360"/>
        <w:jc w:val="both"/>
        <w:rPr/>
      </w:pPr>
      <w:r>
        <w:rPr>
          <w:color w:val="000000"/>
        </w:rPr>
        <w:t>•</w:t>
      </w:r>
      <w:r>
        <w:rPr>
          <w:rFonts w:ascii="Times New Roman;serif" w:hAnsi="Times New Roman;serif"/>
          <w:b/>
          <w:color w:val="000000"/>
          <w:sz w:val="24"/>
        </w:rPr>
        <w:t>Financial Services:</w:t>
      </w:r>
      <w:r>
        <w:rPr>
          <w:color w:val="000000"/>
        </w:rPr>
        <w:t xml:space="preserve"> </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4"/>
        </w:rPr>
        <w:t>Three of the top 10 global financial services institutions bought additional enterprise services, and two renewed existing contracts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4"/>
        </w:rPr>
        <w:t>Signed a new enterprise technology deal with a prominent organization supporting credit unions throughout the United States</w:t>
      </w:r>
    </w:p>
    <w:p>
      <w:pPr>
        <w:pStyle w:val="TextBody"/>
        <w:bidi w:val="0"/>
        <w:spacing w:lineRule="auto" w:line="288" w:before="100" w:after="283"/>
        <w:ind w:left="0" w:right="0" w:hanging="360"/>
        <w:jc w:val="both"/>
        <w:rPr/>
      </w:pPr>
      <w:r>
        <w:rPr>
          <w:color w:val="000000"/>
        </w:rPr>
        <w:t>•</w:t>
      </w:r>
      <w:r>
        <w:rPr>
          <w:rFonts w:ascii="Times New Roman;serif" w:hAnsi="Times New Roman;serif"/>
          <w:b/>
          <w:color w:val="000000"/>
          <w:sz w:val="24"/>
        </w:rPr>
        <w:t xml:space="preserve">Healthcare: </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4"/>
        </w:rPr>
        <w:t>Working with large precision medicine provider to launch a pioneering inbound and outbound agentic AI solution</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4"/>
        </w:rPr>
        <w:t>Won a deal with a U.S.-based regional hospital system to deploy the Amelia platform</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4"/>
        </w:rPr>
        <w:t>Signed a renewal with one of the leading healthcare companies for wholesale medical supplies</w:t>
      </w:r>
    </w:p>
    <w:p>
      <w:pPr>
        <w:pStyle w:val="TextBody"/>
        <w:bidi w:val="0"/>
        <w:spacing w:lineRule="auto" w:line="288" w:before="100" w:after="283"/>
        <w:ind w:left="0" w:right="0" w:hanging="360"/>
        <w:jc w:val="both"/>
        <w:rPr/>
      </w:pPr>
      <w:r>
        <w:rPr>
          <w:color w:val="000000"/>
        </w:rPr>
        <w:t>•</w:t>
      </w:r>
      <w:r>
        <w:rPr>
          <w:rFonts w:ascii="Times New Roman;serif" w:hAnsi="Times New Roman;serif"/>
          <w:b/>
          <w:color w:val="000000"/>
          <w:sz w:val="24"/>
        </w:rPr>
        <w:t xml:space="preserve">Insurance: </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4"/>
        </w:rPr>
        <w:t xml:space="preserve">French insurer, Apivia Courtage, announced that it will deploy Amelia 7 to bring agentic AI to its contact centers </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4"/>
        </w:rPr>
        <w:t>Renewed contract with a global insurance company providing services to multinational corporations, individuals and families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4"/>
        </w:rPr>
        <w:t>Secured a further renewal with a highly regarded Mexico-based automotive insurance company</w:t>
      </w:r>
    </w:p>
    <w:p>
      <w:pPr>
        <w:pStyle w:val="TextBody"/>
        <w:bidi w:val="0"/>
        <w:spacing w:lineRule="auto" w:line="288" w:before="100" w:after="283"/>
        <w:ind w:left="0" w:right="0" w:hanging="360"/>
        <w:jc w:val="both"/>
        <w:rPr/>
      </w:pPr>
      <w:r>
        <w:rPr>
          <w:color w:val="000000"/>
        </w:rPr>
        <w:t>•</w:t>
      </w:r>
      <w:r>
        <w:rPr>
          <w:rFonts w:ascii="Times New Roman;serif" w:hAnsi="Times New Roman;serif"/>
          <w:b/>
          <w:color w:val="000000"/>
          <w:sz w:val="24"/>
        </w:rPr>
        <w:t>Restaurants:</w:t>
      </w:r>
      <w:r>
        <w:rPr>
          <w:color w:val="000000"/>
        </w:rPr>
        <w:t xml:space="preserve"> </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4"/>
        </w:rPr>
        <w:t>Signed a deal to deploy our AI ordering solutions with a nationally recognized full-service restaurant chain</w:t>
      </w:r>
    </w:p>
    <w:p>
      <w:pPr>
        <w:pStyle w:val="TextBody"/>
        <w:bidi w:val="0"/>
        <w:spacing w:lineRule="auto" w:line="276"/>
        <w:ind w:left="0" w:right="0" w:hanging="360"/>
        <w:jc w:val="both"/>
        <w:rPr/>
      </w:pPr>
      <w:r>
        <w:rPr>
          <w:color w:val="000000"/>
        </w:rPr>
        <w:t>▪</w:t>
      </w:r>
      <w:r>
        <w:rPr>
          <w:rFonts w:ascii="Times New Roman;serif" w:hAnsi="Times New Roman;serif"/>
          <w:b w:val="false"/>
          <w:color w:val="000000"/>
          <w:sz w:val="24"/>
        </w:rPr>
        <w:t xml:space="preserve">Franchise wins with Firehouse Subs, Five Guys, and McAllister’s Deli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4"/>
        </w:rPr>
        <w:t xml:space="preserve">Full deployment for our voice solutions across all MOD pizza, Habit Burger, Red Lobster, and Torchy’s Tacos locations, in addition to existing brands Chipotle and Casey’s </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4"/>
        </w:rPr>
        <w:t xml:space="preserve">Peet’s Coffee expanded further with SoundHound’s category-leading Employee Assist technology, which will now be used by staff in all company owned locations </w:t>
      </w:r>
    </w:p>
    <w:p>
      <w:pPr>
        <w:pStyle w:val="TextBody"/>
        <w:bidi w:val="0"/>
        <w:spacing w:lineRule="auto" w:line="288" w:before="100" w:after="283"/>
        <w:ind w:left="0" w:right="0" w:hanging="360"/>
        <w:jc w:val="both"/>
        <w:rPr/>
      </w:pPr>
      <w:r>
        <w:rPr>
          <w:color w:val="000000"/>
        </w:rPr>
        <w:t>•</w:t>
      </w:r>
      <w:r>
        <w:rPr>
          <w:rFonts w:ascii="Times New Roman;serif" w:hAnsi="Times New Roman;serif"/>
          <w:b/>
          <w:color w:val="000000"/>
          <w:sz w:val="24"/>
        </w:rPr>
        <w:t>Retail and Consumer Goods:</w:t>
      </w:r>
      <w:r>
        <w:rPr>
          <w:color w:val="000000"/>
        </w:rPr>
        <w:t xml:space="preserve"> </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4"/>
        </w:rPr>
        <w:t>Secured a net new upsell with a major multinational brand with an extensive product portfolio of food, beverage, and consumer goods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4"/>
        </w:rPr>
        <w:t xml:space="preserve">Now working with one of the fastest growing global health clubs in the United States to deploy Smart Answering </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4"/>
        </w:rPr>
        <w:t xml:space="preserve">New deal to launch Smart Answering at a U.S.-based global franchise that offers state-of-the-art training facilities for elite athletes </w:t>
      </w:r>
    </w:p>
    <w:p>
      <w:pPr>
        <w:pStyle w:val="TextBody"/>
        <w:bidi w:val="0"/>
        <w:spacing w:lineRule="auto" w:line="288" w:before="100" w:after="283"/>
        <w:ind w:left="0" w:right="0" w:hanging="360"/>
        <w:jc w:val="both"/>
        <w:rPr/>
      </w:pPr>
      <w:r>
        <w:rPr>
          <w:color w:val="000000"/>
        </w:rPr>
        <w:t>•</w:t>
      </w:r>
      <w:r>
        <w:rPr>
          <w:rFonts w:ascii="Times New Roman;serif" w:hAnsi="Times New Roman;serif"/>
          <w:b/>
          <w:color w:val="000000"/>
          <w:sz w:val="24"/>
        </w:rPr>
        <w:t>IT Services:</w:t>
      </w:r>
      <w:r>
        <w:rPr>
          <w:color w:val="000000"/>
        </w:rPr>
        <w:t xml:space="preserve"> </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4"/>
        </w:rPr>
        <w:t>Signed a leading provider of managed cybersecurity services, cloud, and IT infrastructure solutions, based out of the United States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4"/>
        </w:rPr>
        <w:t xml:space="preserve">Renewed a multi-year contract and upsold to a dominant U.S.-based internet domain registry and web hosting company </w:t>
      </w:r>
    </w:p>
    <w:p>
      <w:pPr>
        <w:pStyle w:val="TextBody"/>
        <w:bidi w:val="0"/>
        <w:spacing w:lineRule="auto" w:line="288" w:before="100" w:after="100"/>
        <w:ind w:left="0" w:right="0" w:hanging="360"/>
        <w:jc w:val="both"/>
        <w:rPr/>
      </w:pPr>
      <w:r>
        <w:rPr>
          <w:color w:val="000000"/>
        </w:rPr>
        <w:t>•</w:t>
      </w:r>
      <w:r>
        <w:rPr>
          <w:rFonts w:ascii="Times New Roman;serif" w:hAnsi="Times New Roman;serif"/>
          <w:b/>
          <w:color w:val="000000"/>
          <w:sz w:val="24"/>
        </w:rPr>
        <w:t>Energy:</w:t>
      </w:r>
      <w:r>
        <w:rPr>
          <w:color w:val="000000"/>
        </w:rPr>
        <w:t xml:space="preserve"> </w:t>
      </w:r>
      <w:r>
        <w:rPr>
          <w:rFonts w:ascii="Times New Roman;serif" w:hAnsi="Times New Roman;serif"/>
          <w:b w:val="false"/>
          <w:color w:val="000000"/>
          <w:sz w:val="24"/>
        </w:rPr>
        <w:t xml:space="preserve">Two large U.S. electricity providers will soon go live with SoundHound’s enterprise AI solutions. </w:t>
      </w:r>
    </w:p>
    <w:p>
      <w:pPr>
        <w:pStyle w:val="TextBody"/>
        <w:bidi w:val="0"/>
        <w:spacing w:lineRule="auto" w:line="288" w:before="100" w:after="100"/>
        <w:ind w:left="0" w:right="0" w:hanging="360"/>
        <w:jc w:val="both"/>
        <w:rPr/>
      </w:pPr>
      <w:r>
        <w:rPr>
          <w:color w:val="000000"/>
        </w:rPr>
        <w:t>•</w:t>
      </w:r>
      <w:r>
        <w:rPr>
          <w:rFonts w:ascii="Times New Roman;serif" w:hAnsi="Times New Roman;serif"/>
          <w:b/>
          <w:color w:val="000000"/>
          <w:sz w:val="24"/>
        </w:rPr>
        <w:t>Telecommunications:</w:t>
      </w:r>
      <w:r>
        <w:rPr>
          <w:color w:val="000000"/>
        </w:rPr>
        <w:t xml:space="preserve"> </w:t>
      </w:r>
      <w:r>
        <w:rPr>
          <w:rFonts w:ascii="Times New Roman;serif" w:hAnsi="Times New Roman;serif"/>
          <w:b w:val="false"/>
          <w:color w:val="000000"/>
          <w:sz w:val="24"/>
        </w:rPr>
        <w:t xml:space="preserve">Signed a large telecommunications provider that offers internet and TV services to residential and business customers in over 20 U.S. states. </w:t>
      </w:r>
    </w:p>
    <w:p>
      <w:pPr>
        <w:pStyle w:val="TextBody"/>
        <w:bidi w:val="0"/>
        <w:spacing w:lineRule="auto" w:line="288" w:before="100" w:after="283"/>
        <w:ind w:left="0" w:right="0" w:hanging="360"/>
        <w:jc w:val="both"/>
        <w:rPr/>
      </w:pPr>
      <w:r>
        <w:rPr>
          <w:color w:val="000000"/>
        </w:rPr>
        <w:t>•</w:t>
      </w:r>
      <w:r>
        <w:rPr>
          <w:rFonts w:ascii="Times New Roman;serif" w:hAnsi="Times New Roman;serif"/>
          <w:b/>
          <w:color w:val="000000"/>
          <w:sz w:val="24"/>
        </w:rPr>
        <w:t>Channel Partners:</w:t>
      </w:r>
      <w:r>
        <w:rPr>
          <w:color w:val="000000"/>
        </w:rPr>
        <w:t xml:space="preserve"> </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4"/>
        </w:rPr>
        <w:t xml:space="preserve">Announced a new strategic partnership with major technology distributor, Telarus, to bring Amelia 7 and Autonomics to their enterprise CX &amp; EX landscape </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4"/>
        </w:rPr>
        <w:t xml:space="preserve">Signed multi-year deal with a longstanding partner that specializes in CRM, AI, and workforce engagement management </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4"/>
        </w:rPr>
        <w:t>Entered into a reseller agreement with VOXai, a company that offers purpose-driven customer experience management solutions</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4"/>
        </w:rPr>
        <w:t>Forged strategic partnerships with two of the leading software and services providers for full-suite studio, gym, health, and wellness club management</w:t>
      </w:r>
    </w:p>
    <w:p>
      <w:pPr>
        <w:pStyle w:val="TextBody"/>
        <w:bidi w:val="0"/>
        <w:spacing w:lineRule="auto" w:line="288" w:before="100" w:after="283"/>
        <w:ind w:left="0" w:right="0" w:hanging="360"/>
        <w:jc w:val="both"/>
        <w:rPr/>
      </w:pPr>
      <w:r>
        <w:rPr>
          <w:color w:val="000000"/>
        </w:rPr>
        <w:t>•</w:t>
      </w:r>
      <w:r>
        <w:rPr>
          <w:rFonts w:ascii="Times New Roman;serif" w:hAnsi="Times New Roman;serif"/>
          <w:b/>
          <w:color w:val="000000"/>
          <w:sz w:val="24"/>
        </w:rPr>
        <w:t xml:space="preserve">Other Highlights: </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4"/>
        </w:rPr>
        <w:t xml:space="preserve">Launched Vision AI to bring real-time visual understanding to SoundHound’s conversational AI platform </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4"/>
        </w:rPr>
        <w:t>Acquired Interactions, a pioneer in AI for customer service and workflow orchestration, to strengthen leadership in Agentic AI</w:t>
      </w:r>
      <w:r>
        <w:rPr>
          <w:color w:val="000000"/>
        </w:rPr>
        <w:t xml:space="preserve"> </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4"/>
        </w:rPr>
        <w:t xml:space="preserve">Named a leader in IDC MarketScape for worldwide general-purpose conversational AI platforms 2025 </w:t>
      </w:r>
    </w:p>
    <w:p>
      <w:pPr>
        <w:pStyle w:val="TextBody"/>
        <w:bidi w:val="0"/>
        <w:spacing w:lineRule="auto" w:line="276"/>
        <w:ind w:left="0" w:right="0" w:hanging="360"/>
        <w:jc w:val="both"/>
        <w:rPr/>
      </w:pPr>
      <w:r>
        <w:rPr>
          <w:color w:val="000000"/>
        </w:rPr>
        <w:t>▪</w:t>
      </w:r>
      <w:r>
        <w:rPr>
          <w:rFonts w:ascii="Times New Roman;serif" w:hAnsi="Times New Roman;serif"/>
          <w:b w:val="false"/>
          <w:color w:val="000000"/>
          <w:sz w:val="24"/>
        </w:rPr>
        <w:t>Named a leader in Everest Group’s conversational AI and AI agents in customer experience management Products PEAK Matrix® Assessment 2025</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4"/>
          <w:shd w:fill="FEFEFE" w:val="clear"/>
        </w:rPr>
        <w:t>Third Quarter 2025 Financial Measures</w:t>
      </w:r>
      <w:r>
        <w:rPr>
          <w:rFonts w:ascii="Times New Roman;serif" w:hAnsi="Times New Roman;serif"/>
          <w:b w:val="false"/>
          <w:color w:val="000000"/>
          <w:sz w:val="16"/>
        </w:rPr>
        <w:t>1</w:t>
      </w:r>
    </w:p>
    <w:tbl>
      <w:tblPr>
        <w:tblW w:w="10205" w:type="dxa"/>
        <w:jc w:val="left"/>
        <w:tblInd w:w="0" w:type="dxa"/>
        <w:tblLayout w:type="fixed"/>
        <w:tblCellMar>
          <w:top w:w="28" w:type="dxa"/>
          <w:left w:w="28" w:type="dxa"/>
          <w:bottom w:w="28" w:type="dxa"/>
          <w:right w:w="28" w:type="dxa"/>
        </w:tblCellMar>
      </w:tblPr>
      <w:tblGrid>
        <w:gridCol w:w="1232"/>
        <w:gridCol w:w="1079"/>
        <w:gridCol w:w="1084"/>
        <w:gridCol w:w="109"/>
        <w:gridCol w:w="109"/>
        <w:gridCol w:w="109"/>
        <w:gridCol w:w="605"/>
        <w:gridCol w:w="295"/>
        <w:gridCol w:w="295"/>
        <w:gridCol w:w="291"/>
        <w:gridCol w:w="290"/>
        <w:gridCol w:w="297"/>
        <w:gridCol w:w="109"/>
        <w:gridCol w:w="109"/>
        <w:gridCol w:w="109"/>
        <w:gridCol w:w="605"/>
        <w:gridCol w:w="295"/>
        <w:gridCol w:w="291"/>
        <w:gridCol w:w="290"/>
        <w:gridCol w:w="290"/>
        <w:gridCol w:w="297"/>
        <w:gridCol w:w="109"/>
        <w:gridCol w:w="109"/>
        <w:gridCol w:w="109"/>
        <w:gridCol w:w="270"/>
        <w:gridCol w:w="130"/>
        <w:gridCol w:w="130"/>
        <w:gridCol w:w="305"/>
        <w:gridCol w:w="306"/>
        <w:gridCol w:w="547"/>
      </w:tblGrid>
      <w:tr>
        <w:trPr/>
        <w:tc>
          <w:tcPr>
            <w:tcW w:w="1232"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33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Three Months Ended</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(thousands, unless otherwise noted)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6"/>
            <w:tcBorders/>
            <w:tcMar>
              <w:top w:w="0" w:type="dxa"/>
              <w:left w:w="0" w:type="dxa"/>
              <w:bottom w:w="0" w:type="dxa"/>
              <w:right w:w="0" w:type="dxa"/>
            </w:tcMar>
            <w:vAlign w:val="center"/>
          </w:tcPr>
          <w:p>
            <w:pPr>
              <w:pStyle w:val="TableContents"/>
              <w:bidi w:val="0"/>
              <w:spacing w:lineRule="auto" w:line="333" w:before="0" w:after="0"/>
              <w:jc w:val="right"/>
              <w:rPr>
                <w:color w:val="000000"/>
              </w:rPr>
            </w:pPr>
            <w:r>
              <w:rPr>
                <w:color w:val="000000"/>
              </w:rPr>
              <w:t>                    </w:t>
            </w:r>
          </w:p>
          <w:p>
            <w:pPr>
              <w:pStyle w:val="TableContents"/>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Change</w:t>
            </w:r>
          </w:p>
        </w:tc>
      </w:tr>
      <w:tr>
        <w:trPr/>
        <w:tc>
          <w:tcPr>
            <w:tcW w:w="3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468"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42,049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463"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25,094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68 </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3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GAAP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468"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17,921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463"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12,193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47 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3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GAAP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(6.0)</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4"/>
              </w:rPr>
              <w:t>pp</w:t>
            </w:r>
          </w:p>
        </w:tc>
      </w:tr>
      <w:tr>
        <w:trPr/>
        <w:tc>
          <w:tcPr>
            <w:tcW w:w="3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Non-GAAP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468"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24,917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463"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14,983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66 </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3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Non-GAAP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(0.4)</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pp</w:t>
            </w:r>
          </w:p>
        </w:tc>
      </w:tr>
      <w:tr>
        <w:trPr/>
        <w:tc>
          <w:tcPr>
            <w:tcW w:w="33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GAAP operating loss</w:t>
            </w:r>
            <w:r>
              <w:rPr>
                <w:rFonts w:ascii="Times New Roman;serif" w:hAnsi="Times New Roman;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71"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(115,891)</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66"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(33,767)</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(243)</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3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Non-GAAP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71"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(14,546)</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66"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(15,869)</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8 </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33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GAAP net loss</w:t>
            </w:r>
            <w:r>
              <w:rPr>
                <w:rFonts w:ascii="Times New Roman;serif" w:hAnsi="Times New Roman;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71"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(109,271)</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66"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(21,751)</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(402)</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3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Non-GAAP 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71"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(13,022)</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66"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(14,958)</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13 </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33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GAAP net loss per share</w:t>
            </w:r>
            <w:r>
              <w:rPr>
                <w:rFonts w:ascii="Times New Roman;serif" w:hAnsi="Times New Roman;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71"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(0.27)</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66"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(0.06)</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871"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(0.21)</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Non-GAAP net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71"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(0.03)</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66"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(0.04)</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871"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0.01 </w:t>
            </w:r>
          </w:p>
        </w:tc>
        <w:tc>
          <w:tcPr>
            <w:tcW w:w="5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40"/>
        <w:ind w:left="0" w:right="0" w:hanging="360"/>
        <w:jc w:val="both"/>
        <w:rPr/>
      </w:pPr>
      <w:r>
        <w:rPr>
          <w:rFonts w:ascii="Times New Roman;serif" w:hAnsi="Times New Roman;serif"/>
          <w:b w:val="false"/>
          <w:color w:val="000000"/>
          <w:sz w:val="14"/>
        </w:rPr>
        <w:t>1)</w:t>
      </w:r>
      <w:r>
        <w:rPr>
          <w:rFonts w:ascii="Times New Roman;serif" w:hAnsi="Times New Roman;serif"/>
          <w:b w:val="false"/>
          <w:color w:val="000000"/>
          <w:sz w:val="14"/>
          <w:shd w:fill="FFFFFF" w:val="clear"/>
        </w:rPr>
        <w:t xml:space="preserve">Please see tables below for a reconciliation from GAAP to non-GAAP. </w:t>
      </w:r>
    </w:p>
    <w:p>
      <w:pPr>
        <w:pStyle w:val="TextBody"/>
        <w:bidi w:val="0"/>
        <w:spacing w:lineRule="auto" w:line="288" w:before="0" w:after="360"/>
        <w:ind w:left="0" w:right="0" w:hanging="360"/>
        <w:jc w:val="left"/>
        <w:rPr/>
      </w:pPr>
      <w:r>
        <w:rPr>
          <w:rFonts w:ascii="Times New Roman;serif" w:hAnsi="Times New Roman;serif"/>
          <w:b w:val="false"/>
          <w:color w:val="000000"/>
          <w:sz w:val="14"/>
          <w:shd w:fill="FFFFFF" w:val="clear"/>
        </w:rPr>
        <w:t xml:space="preserve">2)GAAP-only operating loss includes a significant impact from the calculated fair value of contingent acquisition liabilities where future earn-out shares are marked-to-market on a quarterly basis, and with the increase in stock price compared to the previous quarter the loss associated with this item was </w:t>
      </w:r>
      <w:r>
        <w:rPr>
          <w:rFonts w:ascii="Times New Roman;serif" w:hAnsi="Times New Roman;serif"/>
          <w:b w:val="false"/>
          <w:color w:val="000000"/>
          <w:sz w:val="14"/>
        </w:rPr>
        <w:t>$66 million</w:t>
      </w:r>
      <w:r>
        <w:rPr>
          <w:color w:val="000000"/>
          <w:shd w:fill="FFFFFF" w:val="clear"/>
        </w:rPr>
        <w:t xml:space="preserve"> </w:t>
      </w:r>
      <w:r>
        <w:rPr>
          <w:rFonts w:ascii="Times New Roman;serif" w:hAnsi="Times New Roman;serif"/>
          <w:b w:val="false"/>
          <w:color w:val="000000"/>
          <w:sz w:val="14"/>
          <w:shd w:fill="FFFFFF" w:val="clear"/>
        </w:rPr>
        <w:t>in the third quarter. Non-GAAP measures exclude this non-operating/non-cash impact.</w:t>
      </w:r>
    </w:p>
    <w:p>
      <w:pPr>
        <w:pStyle w:val="TextBody"/>
        <w:bidi w:val="0"/>
        <w:spacing w:lineRule="auto" w:line="288" w:before="0" w:after="0"/>
        <w:jc w:val="left"/>
        <w:rPr>
          <w:rFonts w:ascii="Times New Roman;serif" w:hAnsi="Times New Roman;serif"/>
          <w:b/>
          <w:color w:val="1D2228"/>
          <w:sz w:val="24"/>
          <w:shd w:fill="FEFEFE" w:val="clear"/>
        </w:rPr>
      </w:pPr>
      <w:r>
        <w:rPr>
          <w:rFonts w:ascii="Times New Roman;serif" w:hAnsi="Times New Roman;serif"/>
          <w:b/>
          <w:color w:val="1D2228"/>
          <w:sz w:val="24"/>
          <w:shd w:fill="FEFEFE" w:val="clear"/>
        </w:rPr>
        <w:t>Liquidity and Cash Flows</w:t>
      </w:r>
    </w:p>
    <w:p>
      <w:pPr>
        <w:pStyle w:val="TextBody"/>
        <w:bidi w:val="0"/>
        <w:spacing w:lineRule="auto" w:line="288" w:before="100" w:after="360"/>
        <w:jc w:val="both"/>
        <w:rPr/>
      </w:pPr>
      <w:r>
        <w:rPr>
          <w:rFonts w:ascii="Times New Roman;serif" w:hAnsi="Times New Roman;serif"/>
          <w:b w:val="false"/>
          <w:color w:val="000000"/>
          <w:sz w:val="24"/>
          <w:shd w:fill="FEFEFE" w:val="clear"/>
        </w:rPr>
        <w:t xml:space="preserve">The company’s total cash and cash equivalents was </w:t>
      </w:r>
      <w:r>
        <w:rPr>
          <w:rFonts w:ascii="Times New Roman;serif" w:hAnsi="Times New Roman;serif"/>
          <w:b w:val="false"/>
          <w:color w:val="000000"/>
          <w:sz w:val="24"/>
        </w:rPr>
        <w:t>$269 million</w:t>
      </w:r>
      <w:r>
        <w:rPr>
          <w:color w:val="000000"/>
          <w:shd w:fill="FEFEFE" w:val="clear"/>
        </w:rPr>
        <w:t xml:space="preserve"> </w:t>
      </w:r>
      <w:r>
        <w:rPr>
          <w:rFonts w:ascii="Times New Roman;serif" w:hAnsi="Times New Roman;serif"/>
          <w:b w:val="false"/>
          <w:color w:val="000000"/>
          <w:sz w:val="24"/>
          <w:shd w:fill="FEFEFE" w:val="clear"/>
        </w:rPr>
        <w:t xml:space="preserve">at September 30, 2025, with no debt. </w:t>
      </w:r>
    </w:p>
    <w:p>
      <w:pPr>
        <w:pStyle w:val="TextBody"/>
        <w:bidi w:val="0"/>
        <w:spacing w:lineRule="auto" w:line="288" w:before="100" w:after="160"/>
        <w:jc w:val="both"/>
        <w:rPr>
          <w:rFonts w:ascii="Times New Roman;serif" w:hAnsi="Times New Roman;serif"/>
          <w:b/>
          <w:color w:val="1D2228"/>
          <w:sz w:val="24"/>
          <w:shd w:fill="FEFEFE" w:val="clear"/>
        </w:rPr>
      </w:pPr>
      <w:r>
        <w:rPr>
          <w:rFonts w:ascii="Times New Roman;serif" w:hAnsi="Times New Roman;serif"/>
          <w:b/>
          <w:color w:val="1D2228"/>
          <w:sz w:val="24"/>
          <w:shd w:fill="FEFEFE" w:val="clear"/>
        </w:rPr>
        <w:t>Condensed Cash Flow Statement</w:t>
      </w:r>
    </w:p>
    <w:tbl>
      <w:tblPr>
        <w:tblW w:w="9810" w:type="dxa"/>
        <w:jc w:val="left"/>
        <w:tblInd w:w="0" w:type="dxa"/>
        <w:tblLayout w:type="fixed"/>
        <w:tblCellMar>
          <w:top w:w="28" w:type="dxa"/>
          <w:left w:w="28" w:type="dxa"/>
          <w:bottom w:w="28" w:type="dxa"/>
          <w:right w:w="28" w:type="dxa"/>
        </w:tblCellMar>
      </w:tblPr>
      <w:tblGrid>
        <w:gridCol w:w="1514"/>
        <w:gridCol w:w="1332"/>
        <w:gridCol w:w="1339"/>
        <w:gridCol w:w="109"/>
        <w:gridCol w:w="109"/>
        <w:gridCol w:w="109"/>
        <w:gridCol w:w="615"/>
        <w:gridCol w:w="295"/>
        <w:gridCol w:w="295"/>
        <w:gridCol w:w="472"/>
        <w:gridCol w:w="474"/>
        <w:gridCol w:w="302"/>
        <w:gridCol w:w="109"/>
        <w:gridCol w:w="109"/>
        <w:gridCol w:w="109"/>
        <w:gridCol w:w="594"/>
        <w:gridCol w:w="285"/>
        <w:gridCol w:w="285"/>
        <w:gridCol w:w="472"/>
        <w:gridCol w:w="474"/>
        <w:gridCol w:w="408"/>
      </w:tblGrid>
      <w:tr>
        <w:trPr/>
        <w:tc>
          <w:tcPr>
            <w:tcW w:w="1514"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Nine Months Ended</w:t>
            </w:r>
          </w:p>
          <w:p>
            <w:pPr>
              <w:pStyle w:val="TableContents"/>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September 30, 2024</w:t>
            </w:r>
          </w:p>
        </w:tc>
      </w:tr>
      <w:tr>
        <w:trPr/>
        <w:tc>
          <w:tcPr>
            <w:tcW w:w="41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Cash 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4"/>
              </w:rPr>
              <w:t>Net cash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536"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(76,336)</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516"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(75,755)</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4"/>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(56,965)</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(12,292)</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4"/>
              </w:rPr>
              <w:t>Net cash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204,514 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115,445 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4"/>
              </w:rPr>
              <w:t>Effects of exchange rate changes on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(257)</w:t>
            </w:r>
          </w:p>
        </w:tc>
        <w:tc>
          <w:tcPr>
            <w:tcW w:w="30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(16)</w:t>
            </w:r>
          </w:p>
        </w:tc>
        <w:tc>
          <w:tcPr>
            <w:tcW w:w="408"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Net change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536" w:type="dxa"/>
            <w:gridSpan w:val="4"/>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70,956</w:t>
            </w:r>
            <w:r>
              <w:rPr>
                <w:color w:val="000000"/>
              </w:rPr>
              <w:t> </w:t>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516" w:type="dxa"/>
            <w:gridSpan w:val="4"/>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27,382</w:t>
            </w:r>
            <w:r>
              <w:rPr>
                <w:color w:val="000000"/>
              </w:rPr>
              <w:t> </w:t>
            </w:r>
          </w:p>
        </w:tc>
        <w:tc>
          <w:tcPr>
            <w:tcW w:w="4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60"/>
        <w:jc w:val="both"/>
        <w:rPr>
          <w:rFonts w:ascii="Times New Roman;serif" w:hAnsi="Times New Roman;serif"/>
          <w:b/>
          <w:color w:val="000000"/>
          <w:sz w:val="24"/>
          <w:shd w:fill="FEFEFE" w:val="clear"/>
        </w:rPr>
      </w:pPr>
      <w:r>
        <w:rPr>
          <w:rFonts w:ascii="Times New Roman;serif" w:hAnsi="Times New Roman;serif"/>
          <w:b/>
          <w:color w:val="000000"/>
          <w:sz w:val="24"/>
          <w:shd w:fill="FEFEFE" w:val="clear"/>
        </w:rPr>
        <w:t>Business Outlook</w:t>
      </w:r>
    </w:p>
    <w:p>
      <w:pPr>
        <w:pStyle w:val="TextBody"/>
        <w:bidi w:val="0"/>
        <w:spacing w:lineRule="auto" w:line="276"/>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SoundHound is raising its full year 2025 revenue outlook and now expects it to be in a range of $165 - $180 million.</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60"/>
        <w:jc w:val="both"/>
        <w:rPr>
          <w:rFonts w:ascii="Times New Roman;serif" w:hAnsi="Times New Roman;serif"/>
          <w:b/>
          <w:color w:val="000000"/>
          <w:sz w:val="24"/>
          <w:shd w:fill="FEFEFE" w:val="clear"/>
        </w:rPr>
      </w:pPr>
      <w:r>
        <w:rPr>
          <w:rFonts w:ascii="Times New Roman;serif" w:hAnsi="Times New Roman;serif"/>
          <w:b/>
          <w:color w:val="000000"/>
          <w:sz w:val="24"/>
          <w:shd w:fill="FEFEFE" w:val="clear"/>
        </w:rPr>
        <w:t>Additional Information</w:t>
      </w:r>
    </w:p>
    <w:p>
      <w:pPr>
        <w:pStyle w:val="TextBody"/>
        <w:bidi w:val="0"/>
        <w:spacing w:lineRule="auto" w:line="288" w:before="100" w:after="360"/>
        <w:jc w:val="both"/>
        <w:rPr/>
      </w:pPr>
      <w:r>
        <w:rPr>
          <w:rFonts w:ascii="Times New Roman;serif" w:hAnsi="Times New Roman;serif"/>
          <w:b w:val="false"/>
          <w:color w:val="000000"/>
          <w:sz w:val="24"/>
          <w:shd w:fill="FEFEFE" w:val="clear"/>
        </w:rPr>
        <w:t xml:space="preserve">For more information please see the company’s SEC filings which can be obtained on the company’s website at </w:t>
      </w:r>
      <w:r>
        <w:rPr>
          <w:rFonts w:ascii="Times New Roman;serif" w:hAnsi="Times New Roman;serif"/>
          <w:b w:val="false"/>
          <w:color w:val="000000"/>
          <w:sz w:val="24"/>
          <w:u w:val="single"/>
          <w:shd w:fill="FFFFFF" w:val="clear"/>
        </w:rPr>
        <w:t>investors.soundhound.com</w:t>
      </w:r>
      <w:r>
        <w:rPr>
          <w:rFonts w:ascii="Times New Roman;serif" w:hAnsi="Times New Roman;serif"/>
          <w:b w:val="false"/>
          <w:color w:val="000000"/>
          <w:sz w:val="24"/>
          <w:shd w:fill="FEFEFE" w:val="clear"/>
        </w:rPr>
        <w:t>. The financial statements will be posted on the website, and will be included when the company files its 8-K. The financial data presented in this press release should be considered preliminary until the company files its 10-Q.</w:t>
      </w:r>
    </w:p>
    <w:p>
      <w:pPr>
        <w:pStyle w:val="TextBody"/>
        <w:bidi w:val="0"/>
        <w:spacing w:lineRule="auto" w:line="288" w:before="100" w:after="160"/>
        <w:jc w:val="both"/>
        <w:rPr>
          <w:rFonts w:ascii="Times New Roman;serif" w:hAnsi="Times New Roman;serif"/>
          <w:b/>
          <w:color w:val="000000"/>
          <w:sz w:val="24"/>
          <w:shd w:fill="FEFEFE" w:val="clear"/>
        </w:rPr>
      </w:pPr>
      <w:r>
        <w:rPr>
          <w:rFonts w:ascii="Times New Roman;serif" w:hAnsi="Times New Roman;serif"/>
          <w:b/>
          <w:color w:val="000000"/>
          <w:sz w:val="24"/>
          <w:shd w:fill="FEFEFE" w:val="clear"/>
        </w:rPr>
        <w:t>Conference Call and Webcast</w:t>
      </w:r>
    </w:p>
    <w:p>
      <w:pPr>
        <w:pStyle w:val="TextBody"/>
        <w:bidi w:val="0"/>
        <w:spacing w:lineRule="auto" w:line="288" w:before="100" w:after="360"/>
        <w:jc w:val="both"/>
        <w:rPr/>
      </w:pPr>
      <w:r>
        <w:rPr>
          <w:rFonts w:ascii="Times New Roman;serif" w:hAnsi="Times New Roman;serif"/>
          <w:b w:val="false"/>
          <w:color w:val="000000"/>
          <w:sz w:val="24"/>
        </w:rPr>
        <w:t xml:space="preserve">Keyvan Mohajer, Co-Founder and CEO, and Nitesh Sharan, CFO will host a live audio conference call and webcast today at 2:00 p.m. Pacific Time/5:00 p.m. Eastern Time. A live webcast and replay will also be accessible </w:t>
      </w:r>
      <w:r>
        <w:rPr>
          <w:rFonts w:ascii="Times New Roman;serif" w:hAnsi="Times New Roman;serif"/>
          <w:b w:val="false"/>
          <w:color w:val="000000"/>
          <w:sz w:val="24"/>
          <w:shd w:fill="FFFFFF" w:val="clear"/>
        </w:rPr>
        <w:t xml:space="preserve">at </w:t>
      </w:r>
      <w:r>
        <w:rPr>
          <w:rFonts w:ascii="Times New Roman;serif" w:hAnsi="Times New Roman;serif"/>
          <w:b w:val="false"/>
          <w:color w:val="000000"/>
          <w:sz w:val="24"/>
          <w:u w:val="single"/>
          <w:shd w:fill="FFFFFF" w:val="clear"/>
        </w:rPr>
        <w:t>investors.soundhound.com.</w:t>
      </w:r>
    </w:p>
    <w:p>
      <w:pPr>
        <w:pStyle w:val="TextBody"/>
        <w:bidi w:val="0"/>
        <w:spacing w:lineRule="auto" w:line="276" w:before="0" w:after="0"/>
        <w:jc w:val="both"/>
        <w:rPr>
          <w:rFonts w:ascii="Times New Roman;serif" w:hAnsi="Times New Roman;serif"/>
          <w:b/>
          <w:color w:val="000000"/>
          <w:sz w:val="24"/>
        </w:rPr>
      </w:pPr>
      <w:r>
        <w:rPr>
          <w:rFonts w:ascii="Times New Roman;serif" w:hAnsi="Times New Roman;serif"/>
          <w:b/>
          <w:color w:val="000000"/>
          <w:sz w:val="24"/>
        </w:rPr>
        <w:t xml:space="preserve">About SoundHound AI </w:t>
      </w:r>
    </w:p>
    <w:p>
      <w:pPr>
        <w:pStyle w:val="TextBody"/>
        <w:bidi w:val="0"/>
        <w:spacing w:lineRule="auto" w:line="288" w:before="100" w:after="360"/>
        <w:jc w:val="both"/>
        <w:rPr>
          <w:rFonts w:ascii="Times New Roman;serif" w:hAnsi="Times New Roman;serif"/>
          <w:b w:val="false"/>
          <w:color w:val="000000"/>
          <w:sz w:val="24"/>
        </w:rPr>
      </w:pPr>
      <w:r>
        <w:rPr>
          <w:rFonts w:ascii="Times New Roman;serif" w:hAnsi="Times New Roman;serif"/>
          <w:b w:val="false"/>
          <w:color w:val="000000"/>
          <w:sz w:val="24"/>
        </w:rPr>
        <w:t xml:space="preserve">SoundHound AI (Nasdaq: SOUN), a global leader in voice and conversational AI, delivers solutions that allow businesses to offer superior experiences to their customers. Built on proprietary technology, SoundHound’s voice AI delivers best-in-class speed and accuracy in numerous languages to product creators and service providers across retail, financial services, healthcare, automotive, smart devices, and restaurants. The company’s various groundbreaking AI-driven products include Smart Answering, Smart Ordering, Dynamic Drive-Thru, and the Amelia Platform, which powers AI Agents for enterprise. In addition, SoundHound Chat AI, a powerful voice assistant with integrated Generative AI, and Autonomics, a category-leading operations platform that automates IT processes, have enabled SoundHound to power millions of products and services, and process billions of interactions each year for world class businesses. For more information, visit: www.soundhound.com </w:t>
      </w:r>
    </w:p>
    <w:p>
      <w:pPr>
        <w:pStyle w:val="TextBody"/>
        <w:bidi w:val="0"/>
        <w:spacing w:lineRule="auto" w:line="288" w:before="100" w:after="160"/>
        <w:jc w:val="both"/>
        <w:rPr>
          <w:rFonts w:ascii="Times New Roman;serif" w:hAnsi="Times New Roman;serif"/>
          <w:b/>
          <w:color w:val="000000"/>
          <w:sz w:val="24"/>
          <w:shd w:fill="FEFEFE" w:val="clear"/>
        </w:rPr>
      </w:pPr>
      <w:r>
        <w:rPr>
          <w:rFonts w:ascii="Times New Roman;serif" w:hAnsi="Times New Roman;serif"/>
          <w:b/>
          <w:color w:val="000000"/>
          <w:sz w:val="24"/>
          <w:shd w:fill="FEFEFE" w:val="clear"/>
        </w:rPr>
        <w:t>Forward Looking Statements</w:t>
      </w:r>
    </w:p>
    <w:p>
      <w:pPr>
        <w:pStyle w:val="TextBody"/>
        <w:bidi w:val="0"/>
        <w:spacing w:lineRule="auto" w:line="288" w:before="100" w:after="360"/>
        <w:jc w:val="both"/>
        <w:rPr>
          <w:rFonts w:ascii="Times New Roman;serif" w:hAnsi="Times New Roman;serif"/>
          <w:b w:val="false"/>
          <w:color w:val="000000"/>
          <w:sz w:val="24"/>
          <w:shd w:fill="FEFEFE" w:val="clear"/>
        </w:rPr>
      </w:pPr>
      <w:r>
        <w:rPr>
          <w:rFonts w:ascii="Times New Roman;serif" w:hAnsi="Times New Roman;serif"/>
          <w:b w:val="false"/>
          <w:color w:val="000000"/>
          <w:sz w:val="24"/>
          <w:shd w:fill="FEFEFE" w:val="clear"/>
        </w:rPr>
        <w:t xml:space="preserve">This press release contains forward-looking statements, which are not historical facts, within the meaning of Section 27A of the Securities Act of 1933, as amended, and Section 21E of the Securities Exchange Act of 1934, as amended. In some cases, you can identify forward-looking statements by the use of words such as “may,” “could,” “expect,” “intend,” “plan,” “seek,” “anticipate,” “believe,” “estimate,” “predict,” “potential,” “continue,” “likely,” “will,” “would” and variations of these terms and similar expressions, or the negative of these terms or similar expressions. These forward-looking statements include, but are not limited to, statements concerning our expected financial performance, our ability to implement our business strategy and anticipated business and operations, and guidance for financial results for 2025. Such forward-looking statements are necessarily based upon estimates and assumptions that, while considered reasonable by us and our management, are inherently uncertain. As a result, readers are cautioned not to place undue reliance on these forward-looking statements. Our actual results may differ materially from those expressed or implied by these forward-looking statements as a result of risks and uncertainties impacting SoundHound’s business including, our ability to successfully launch and commercialize new products and services and derive significant revenue, our market opportunity and our ability to acquire new customers and retain existing customers, unexpected costs, charges or expenses resulting from our recent acquisitions, the ability of our recent acquisitions to be accretive on the company's financial results, and those other factors described in our risk factors set forth in our filings with the Securities and Exchange Commission from time to time, including our Annual Report on Form 10-K, Quarterly Reports on Form 10-Q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360"/>
        <w:jc w:val="both"/>
        <w:rPr>
          <w:rFonts w:ascii="Times New Roman;serif" w:hAnsi="Times New Roman;serif"/>
          <w:b w:val="false"/>
          <w:color w:val="000000"/>
          <w:sz w:val="24"/>
          <w:shd w:fill="FEFEFE" w:val="clear"/>
        </w:rPr>
      </w:pPr>
      <w:r>
        <w:rPr>
          <w:rFonts w:ascii="Times New Roman;serif" w:hAnsi="Times New Roman;serif"/>
          <w:b w:val="false"/>
          <w:color w:val="000000"/>
          <w:sz w:val="24"/>
          <w:shd w:fill="FEFEFE" w:val="clear"/>
        </w:rPr>
        <w:t>and Current Reports on Form 8-K. We do not intend to update or alter our forward-looking statements, whether as a result of new information, future events or otherwise, except as required by applicable law.</w:t>
      </w:r>
    </w:p>
    <w:p>
      <w:pPr>
        <w:pStyle w:val="TextBody"/>
        <w:bidi w:val="0"/>
        <w:spacing w:lineRule="auto" w:line="288" w:before="100" w:after="160"/>
        <w:jc w:val="both"/>
        <w:rPr>
          <w:rFonts w:ascii="Times New Roman;serif" w:hAnsi="Times New Roman;serif"/>
          <w:b/>
          <w:color w:val="000000"/>
          <w:sz w:val="24"/>
          <w:shd w:fill="FFFFFF" w:val="clear"/>
        </w:rPr>
      </w:pPr>
      <w:r>
        <w:rPr>
          <w:rFonts w:ascii="Times New Roman;serif" w:hAnsi="Times New Roman;serif"/>
          <w:b/>
          <w:color w:val="000000"/>
          <w:sz w:val="24"/>
          <w:shd w:fill="FFFFFF" w:val="clear"/>
        </w:rPr>
        <w:t>Non-GAAP Measures of Financial Performance</w:t>
      </w:r>
    </w:p>
    <w:p>
      <w:pPr>
        <w:pStyle w:val="TextBody"/>
        <w:bidi w:val="0"/>
        <w:spacing w:lineRule="auto" w:line="288" w:before="0" w:after="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 xml:space="preserve">To supplement the company’s financial statements, which are presented on the basis of U.S. generally accepted accounting principles (GAAP), the following non-GAAP measures of financial performance are included in this release: non-GAAP gross profit, non-GAAP gross margin, adjusted EBITDA, non-GAAP net loss and non-GAAP earnings per share. </w:t>
      </w:r>
    </w:p>
    <w:p>
      <w:pPr>
        <w:pStyle w:val="TextBody"/>
        <w:bidi w:val="0"/>
        <w:spacing w:lineRule="auto" w:line="288" w:before="100" w:after="16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 xml:space="preserve">The company believes that providing this non-GAAP information in addition to the GAAP financial information allows investors to view the financial results in the way the company views its operating results. The company also believes that providing this information allows investors to not only better understand the company's financial performance, but also, better evaluate the information used by management to evaluate and measure such performance. </w:t>
      </w:r>
    </w:p>
    <w:p>
      <w:pPr>
        <w:pStyle w:val="TextBody"/>
        <w:bidi w:val="0"/>
        <w:spacing w:lineRule="auto" w:line="288" w:before="100" w:after="16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 xml:space="preserve">As such, the company believes that disclosing non-GAAP financial measures to the readers of its financial statements provides the reader with useful supplemental information that allows for greater transparency in the review of the company’s financial and operational performance. </w:t>
      </w:r>
    </w:p>
    <w:p>
      <w:pPr>
        <w:pStyle w:val="TextBody"/>
        <w:bidi w:val="0"/>
        <w:spacing w:lineRule="auto" w:line="288" w:before="100" w:after="16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The company defines its non-GAAP measures by excluding certain items:</w:t>
      </w:r>
    </w:p>
    <w:p>
      <w:pPr>
        <w:pStyle w:val="TextBody"/>
        <w:bidi w:val="0"/>
        <w:spacing w:lineRule="auto" w:line="288" w:before="100" w:after="16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 xml:space="preserve">The company arrives at non-GAAP gross profit and non-GAAP gross margin by excluding (i) amortization of intangibles (including acquired intangible assets), and (ii) stock-based compensation and related payroll taxes. </w:t>
      </w:r>
    </w:p>
    <w:p>
      <w:pPr>
        <w:pStyle w:val="TextBody"/>
        <w:bidi w:val="0"/>
        <w:spacing w:lineRule="auto" w:line="276"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The company arrives at adjusted EBITDA by excluding (i) total other income/(expense), net, (ii) income taxes, (iii) depreciation and amortization expense (including acquired intangible assets), (iv) stock-based compensation and related payroll taxes, (v) change in fair value of contingent acquisition liabilities, and (vi) acquisition-related costs.</w:t>
      </w:r>
    </w:p>
    <w:p>
      <w:pPr>
        <w:pStyle w:val="TextBody"/>
        <w:bidi w:val="0"/>
        <w:spacing w:lineRule="auto" w:line="288" w:before="100" w:after="16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 xml:space="preserve">The company arrives at non-GAAP net loss and non-GAAP net loss per share by excluding (i) depreciation and amortization expense (including acquired intangible assets), (ii) stock-based compensation and related payroll taxes, (iii) change in fair value of contingent acquisition liabilities, (iv) change in fair value of derivative, (v) acquisition-related costs, and (vi) income tax effects related to acquisitions. </w:t>
      </w:r>
    </w:p>
    <w:p>
      <w:pPr>
        <w:pStyle w:val="TextBody"/>
        <w:bidi w:val="0"/>
        <w:spacing w:lineRule="auto" w:line="288" w:before="100" w:after="16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Reconciliations of GAAP to these adjusted non-GAAP financial measures are included in the tables below. When analyzing the company's operating results, investors should not consider non-GAAP measures as substitutes for the comparable financial measures prepared in accordance with GAAP.</w:t>
      </w:r>
    </w:p>
    <w:p>
      <w:pPr>
        <w:pStyle w:val="TextBody"/>
        <w:bidi w:val="0"/>
        <w:spacing w:lineRule="auto" w:line="288" w:before="100" w:after="36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To the extent that the company presents any forward-looking non-GAAP financial measures, the company does not present a quantitative reconciliation of such measures to the most directly comparable GAAP financial measure (or otherwise present such forward-looking GAAP measures) because it is impractical to do so.</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60"/>
        <w:jc w:val="both"/>
        <w:rPr>
          <w:rFonts w:ascii="Times New Roman;serif" w:hAnsi="Times New Roman;serif"/>
          <w:b/>
          <w:color w:val="000000"/>
          <w:sz w:val="24"/>
          <w:shd w:fill="FEFEFE" w:val="clear"/>
        </w:rPr>
      </w:pPr>
      <w:r>
        <w:rPr>
          <w:rFonts w:ascii="Times New Roman;serif" w:hAnsi="Times New Roman;serif"/>
          <w:b/>
          <w:color w:val="000000"/>
          <w:sz w:val="24"/>
          <w:shd w:fill="FEFEFE" w:val="clear"/>
        </w:rPr>
        <w:t>Third Quarter Reconciliation of GAAP Gross Profit to Non-GAAP Gross Profit and GAAP Gross Margin to Non-GAAP Gross Margin</w:t>
      </w:r>
    </w:p>
    <w:tbl>
      <w:tblPr>
        <w:tblW w:w="10098" w:type="dxa"/>
        <w:jc w:val="left"/>
        <w:tblInd w:w="0" w:type="dxa"/>
        <w:tblLayout w:type="fixed"/>
        <w:tblCellMar>
          <w:top w:w="28" w:type="dxa"/>
          <w:left w:w="28" w:type="dxa"/>
          <w:bottom w:w="28" w:type="dxa"/>
          <w:right w:w="28" w:type="dxa"/>
        </w:tblCellMar>
      </w:tblPr>
      <w:tblGrid>
        <w:gridCol w:w="1836"/>
        <w:gridCol w:w="1613"/>
        <w:gridCol w:w="1620"/>
        <w:gridCol w:w="109"/>
        <w:gridCol w:w="109"/>
        <w:gridCol w:w="109"/>
        <w:gridCol w:w="615"/>
        <w:gridCol w:w="295"/>
        <w:gridCol w:w="295"/>
        <w:gridCol w:w="295"/>
        <w:gridCol w:w="295"/>
        <w:gridCol w:w="302"/>
        <w:gridCol w:w="109"/>
        <w:gridCol w:w="109"/>
        <w:gridCol w:w="109"/>
        <w:gridCol w:w="594"/>
        <w:gridCol w:w="285"/>
        <w:gridCol w:w="285"/>
        <w:gridCol w:w="353"/>
        <w:gridCol w:w="353"/>
        <w:gridCol w:w="408"/>
      </w:tblGrid>
      <w:tr>
        <w:trPr/>
        <w:tc>
          <w:tcPr>
            <w:tcW w:w="1836"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Three Months Ended</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(thousands, unless otherwise noted)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September 30, 2024</w:t>
            </w:r>
          </w:p>
        </w:tc>
      </w:tr>
      <w:tr>
        <w:trPr/>
        <w:tc>
          <w:tcPr>
            <w:tcW w:w="50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4"/>
              </w:rPr>
              <w:t>GAAP gross profit</w:t>
            </w:r>
            <w:r>
              <w:rPr>
                <w:rFonts w:ascii="Times New Roman;serif" w:hAnsi="Times New Roman;serif"/>
                <w:b/>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482"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17,921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684"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12,193</w:t>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Amortization of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4,334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2,691 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Stock-based compensation and related payroll taxes²</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2,662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99 </w:t>
            </w:r>
          </w:p>
        </w:tc>
        <w:tc>
          <w:tcPr>
            <w:tcW w:w="40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Non-GAAP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180"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24,917</w:t>
            </w:r>
            <w:r>
              <w:rPr>
                <w:color w:val="000000"/>
              </w:rPr>
              <w:t>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276"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14,983</w:t>
            </w:r>
            <w:r>
              <w:rPr>
                <w:color w:val="000000"/>
              </w:rPr>
              <w:t> </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GAAP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42.6%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48.6%</w:t>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Non-GAAP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59.3%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59.7%</w:t>
            </w:r>
          </w:p>
        </w:tc>
      </w:tr>
    </w:tbl>
    <w:p>
      <w:pPr>
        <w:pStyle w:val="TextBody"/>
        <w:bidi w:val="0"/>
        <w:spacing w:lineRule="auto" w:line="288" w:before="100" w:after="283"/>
        <w:ind w:left="0" w:right="0" w:hanging="360"/>
        <w:jc w:val="both"/>
        <w:rPr/>
      </w:pPr>
      <w:r>
        <w:rPr>
          <w:rFonts w:ascii="Times New Roman;serif" w:hAnsi="Times New Roman;serif"/>
          <w:b w:val="false"/>
          <w:color w:val="000000"/>
          <w:sz w:val="16"/>
        </w:rPr>
        <w:t>1)</w:t>
      </w:r>
      <w:r>
        <w:rPr>
          <w:rFonts w:ascii="Times New Roman;serif" w:hAnsi="Times New Roman;serif"/>
          <w:b w:val="false"/>
          <w:color w:val="000000"/>
          <w:sz w:val="16"/>
          <w:shd w:fill="FEFEFE" w:val="clear"/>
        </w:rPr>
        <w:t>G</w:t>
      </w:r>
      <w:r>
        <w:rPr>
          <w:rFonts w:ascii="Times New Roman;serif" w:hAnsi="Times New Roman;serif"/>
          <w:b w:val="false"/>
          <w:color w:val="000000"/>
          <w:sz w:val="16"/>
        </w:rPr>
        <w:t>AAP gross profit is calculated by subtracting the cost of revenues from revenues.</w:t>
      </w:r>
    </w:p>
    <w:p>
      <w:pPr>
        <w:pStyle w:val="TextBody"/>
        <w:bidi w:val="0"/>
        <w:spacing w:lineRule="auto" w:line="288" w:before="10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2)Q3 2025 includes employer payroll taxes that result from stock-based compensation in the amount of $0.2 million.</w:t>
      </w:r>
    </w:p>
    <w:p>
      <w:pPr>
        <w:pStyle w:val="TextBody"/>
        <w:bidi w:val="0"/>
        <w:spacing w:before="0" w:after="0"/>
        <w:jc w:val="both"/>
        <w:rPr/>
      </w:pPr>
      <w:r>
        <w:rPr/>
      </w:r>
    </w:p>
    <w:p>
      <w:pPr>
        <w:pStyle w:val="TextBody"/>
        <w:bidi w:val="0"/>
        <w:spacing w:lineRule="auto" w:line="288" w:before="100" w:after="160"/>
        <w:jc w:val="both"/>
        <w:rPr>
          <w:rFonts w:ascii="Times New Roman;serif" w:hAnsi="Times New Roman;serif"/>
          <w:b/>
          <w:color w:val="000000"/>
          <w:sz w:val="24"/>
          <w:shd w:fill="FEFEFE" w:val="clear"/>
        </w:rPr>
      </w:pPr>
      <w:r>
        <w:rPr>
          <w:rFonts w:ascii="Times New Roman;serif" w:hAnsi="Times New Roman;serif"/>
          <w:b/>
          <w:color w:val="000000"/>
          <w:sz w:val="24"/>
          <w:shd w:fill="FEFEFE" w:val="clear"/>
        </w:rPr>
        <w:t>Third Quarter Reconciliation of GAAP Net Loss to Non-GAAP Adjusted EBITDA</w:t>
      </w:r>
    </w:p>
    <w:tbl>
      <w:tblPr>
        <w:tblW w:w="10205" w:type="dxa"/>
        <w:jc w:val="left"/>
        <w:tblInd w:w="0" w:type="dxa"/>
        <w:tblLayout w:type="fixed"/>
        <w:tblCellMar>
          <w:top w:w="28" w:type="dxa"/>
          <w:left w:w="28" w:type="dxa"/>
          <w:bottom w:w="28" w:type="dxa"/>
          <w:right w:w="28" w:type="dxa"/>
        </w:tblCellMar>
      </w:tblPr>
      <w:tblGrid>
        <w:gridCol w:w="1826"/>
        <w:gridCol w:w="1512"/>
        <w:gridCol w:w="1520"/>
        <w:gridCol w:w="109"/>
        <w:gridCol w:w="109"/>
        <w:gridCol w:w="109"/>
        <w:gridCol w:w="579"/>
        <w:gridCol w:w="295"/>
        <w:gridCol w:w="295"/>
        <w:gridCol w:w="449"/>
        <w:gridCol w:w="377"/>
        <w:gridCol w:w="284"/>
        <w:gridCol w:w="109"/>
        <w:gridCol w:w="109"/>
        <w:gridCol w:w="109"/>
        <w:gridCol w:w="560"/>
        <w:gridCol w:w="285"/>
        <w:gridCol w:w="276"/>
        <w:gridCol w:w="450"/>
        <w:gridCol w:w="453"/>
        <w:gridCol w:w="390"/>
      </w:tblGrid>
      <w:tr>
        <w:trPr/>
        <w:tc>
          <w:tcPr>
            <w:tcW w:w="1826"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485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Three Months Ended</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September 30, 2024</w:t>
            </w:r>
          </w:p>
        </w:tc>
      </w:tr>
      <w:tr>
        <w:trPr/>
        <w:tc>
          <w:tcPr>
            <w:tcW w:w="48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GAAP 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416"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(109,271)</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464"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(21,751)</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Total other income (expense), net</w:t>
            </w:r>
            <w:r>
              <w:rPr>
                <w:rFonts w:ascii="Times New Roman;serif" w:hAnsi="Times New Roman;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(7,077)</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(1,525)</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457 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(10,491)</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8,557 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5,365 </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Stock-based compensation and related payroll taxes</w:t>
            </w:r>
            <w:r>
              <w:rPr>
                <w:rFonts w:ascii="Times New Roman;serif" w:hAnsi="Times New Roman;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21,217 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9,060 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Change in fair value of contingent acquisition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66,245 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(1,356)</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Acquisition-related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5,326 </w:t>
            </w:r>
          </w:p>
        </w:tc>
        <w:tc>
          <w:tcPr>
            <w:tcW w:w="28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4,829 </w:t>
            </w:r>
          </w:p>
        </w:tc>
        <w:tc>
          <w:tcPr>
            <w:tcW w:w="39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Non-GAAP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416" w:type="dxa"/>
            <w:gridSpan w:val="4"/>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(14,546)</w:t>
            </w:r>
          </w:p>
        </w:tc>
        <w:tc>
          <w:tcPr>
            <w:tcW w:w="28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464" w:type="dxa"/>
            <w:gridSpan w:val="4"/>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(15,869)</w:t>
            </w:r>
          </w:p>
        </w:tc>
        <w:tc>
          <w:tcPr>
            <w:tcW w:w="39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1)Includes other income, net of $7.2 and $2.6 million for the three months ended September 30, 2025 and 2024, respectively.</w:t>
      </w:r>
    </w:p>
    <w:p>
      <w:pPr>
        <w:pStyle w:val="TextBody"/>
        <w:bidi w:val="0"/>
        <w:spacing w:lineRule="auto" w:line="288" w:before="10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2)Q3 2025 includes employer payroll taxes that result from stock-based compensation in the amount of $1.5 million.</w:t>
      </w:r>
    </w:p>
    <w:p>
      <w:pPr>
        <w:pStyle w:val="TextBody"/>
        <w:bidi w:val="0"/>
        <w:spacing w:before="100" w:after="16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60"/>
        <w:jc w:val="both"/>
        <w:rPr>
          <w:rFonts w:ascii="Times New Roman;serif" w:hAnsi="Times New Roman;serif"/>
          <w:b/>
          <w:color w:val="000000"/>
          <w:sz w:val="24"/>
          <w:shd w:fill="FEFEFE" w:val="clear"/>
        </w:rPr>
      </w:pPr>
      <w:r>
        <w:rPr>
          <w:rFonts w:ascii="Times New Roman;serif" w:hAnsi="Times New Roman;serif"/>
          <w:b/>
          <w:color w:val="000000"/>
          <w:sz w:val="24"/>
          <w:shd w:fill="FEFEFE" w:val="clear"/>
        </w:rPr>
        <w:t>Third Quarter Reconciliation of GAAP Net Loss to Non-GAAP Net Loss and Non-GAAP Net Loss Per Share</w:t>
      </w:r>
    </w:p>
    <w:tbl>
      <w:tblPr>
        <w:tblW w:w="10205" w:type="dxa"/>
        <w:jc w:val="left"/>
        <w:tblInd w:w="0" w:type="dxa"/>
        <w:tblLayout w:type="fixed"/>
        <w:tblCellMar>
          <w:top w:w="28" w:type="dxa"/>
          <w:left w:w="28" w:type="dxa"/>
          <w:bottom w:w="28" w:type="dxa"/>
          <w:right w:w="28" w:type="dxa"/>
        </w:tblCellMar>
      </w:tblPr>
      <w:tblGrid>
        <w:gridCol w:w="2001"/>
        <w:gridCol w:w="1531"/>
        <w:gridCol w:w="1538"/>
        <w:gridCol w:w="109"/>
        <w:gridCol w:w="109"/>
        <w:gridCol w:w="109"/>
        <w:gridCol w:w="520"/>
        <w:gridCol w:w="295"/>
        <w:gridCol w:w="295"/>
        <w:gridCol w:w="449"/>
        <w:gridCol w:w="377"/>
        <w:gridCol w:w="255"/>
        <w:gridCol w:w="109"/>
        <w:gridCol w:w="109"/>
        <w:gridCol w:w="109"/>
        <w:gridCol w:w="504"/>
        <w:gridCol w:w="285"/>
        <w:gridCol w:w="263"/>
        <w:gridCol w:w="442"/>
        <w:gridCol w:w="445"/>
        <w:gridCol w:w="351"/>
      </w:tblGrid>
      <w:tr>
        <w:trPr/>
        <w:tc>
          <w:tcPr>
            <w:tcW w:w="2001"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88" w:before="0" w:after="0"/>
              <w:ind w:left="0" w:right="0" w:hanging="0"/>
              <w:jc w:val="left"/>
              <w:rPr>
                <w:rFonts w:ascii="Times New Roman;serif" w:hAnsi="Times New Roman;serif"/>
                <w:b/>
                <w:color w:val="000000"/>
                <w:sz w:val="24"/>
              </w:rPr>
            </w:pPr>
            <w:r>
              <w:rPr>
                <w:rFonts w:ascii="Times New Roman;serif" w:hAnsi="Times New Roman;serif"/>
                <w:b/>
                <w:color w:val="000000"/>
                <w:sz w:val="24"/>
              </w:rPr>
              <w:t>Three Months Ended</w:t>
            </w:r>
          </w:p>
          <w:p>
            <w:pPr>
              <w:pStyle w:val="TableContents"/>
              <w:bidi w:val="0"/>
              <w:spacing w:lineRule="auto" w:line="288" w:before="0" w:after="0"/>
              <w:ind w:left="0" w:right="0" w:hanging="0"/>
              <w:jc w:val="left"/>
              <w:rPr>
                <w:rFonts w:ascii="Times New Roman;serif" w:hAnsi="Times New Roman;serif"/>
                <w:b w:val="false"/>
                <w:color w:val="000000"/>
                <w:sz w:val="24"/>
              </w:rPr>
            </w:pPr>
            <w:r>
              <w:rPr>
                <w:rFonts w:ascii="Times New Roman;serif" w:hAnsi="Times New Roman;serif"/>
                <w:b w:val="false"/>
                <w:color w:val="000000"/>
                <w:sz w:val="24"/>
              </w:rPr>
              <w:t>(thousands, unless otherwise noted)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September 30, 2024</w:t>
            </w:r>
          </w:p>
        </w:tc>
      </w:tr>
      <w:tr>
        <w:trPr/>
        <w:tc>
          <w:tcPr>
            <w:tcW w:w="5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GAAP net loss attributable to SoundHound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416"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(109,271)</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435"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(21,751)</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8,557 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5,365 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Stock-based compensation and related payroll taxes</w:t>
            </w:r>
            <w:r>
              <w:rPr>
                <w:rFonts w:ascii="Times New Roman;serif" w:hAnsi="Times New Roman;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21,217 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9,060 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Change in fair value of contingent acquisition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66,245 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(1,356)</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Change in fair value of derivative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(5,096)</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Acquisition-related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5,326 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4,829 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Income tax effects related to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(11,105)</w:t>
            </w:r>
          </w:p>
        </w:tc>
        <w:tc>
          <w:tcPr>
            <w:tcW w:w="35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Non-GAAP 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416"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(13,022)</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435"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(14,958)</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4"/>
              </w:rPr>
              <w:t>GAAP net loss per share</w:t>
            </w:r>
            <w:r>
              <w:rPr>
                <w:rFonts w:ascii="Times New Roman;serif" w:hAnsi="Times New Roman;serif"/>
                <w:b/>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(0.27)</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(0.06)</w:t>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0.24 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0.02 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4"/>
              </w:rPr>
              <w:t>Non-GAAP net loss per share</w:t>
            </w:r>
            <w:r>
              <w:rPr>
                <w:rFonts w:ascii="Times New Roman;serif" w:hAnsi="Times New Roman;serif"/>
                <w:b/>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82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(0.03)</w:t>
            </w:r>
          </w:p>
        </w:tc>
        <w:tc>
          <w:tcPr>
            <w:tcW w:w="2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88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(0.04)</w:t>
            </w:r>
          </w:p>
        </w:tc>
        <w:tc>
          <w:tcPr>
            <w:tcW w:w="3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1)Q3 2025 includes employer payroll taxes that result from stock-based compensation in the amount of $1.5 million.</w:t>
      </w:r>
    </w:p>
    <w:p>
      <w:pPr>
        <w:pStyle w:val="TextBody"/>
        <w:bidi w:val="0"/>
        <w:spacing w:lineRule="auto" w:line="288" w:before="10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2)Weighted average common shares outstanding (basic) for the three months ended September 30, 2025 and 2024 were 409,783,470 and 360,385,812, respectively.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shd w:fill="FFFFFF" w:val="clear"/>
        </w:rPr>
      </w:pPr>
      <w:r>
        <w:rPr>
          <w:rFonts w:ascii="Times New Roman;serif" w:hAnsi="Times New Roman;serif"/>
          <w:b/>
          <w:color w:val="000000"/>
          <w:sz w:val="24"/>
          <w:shd w:fill="FFFFFF" w:val="clear"/>
        </w:rPr>
        <w:t>Investors:</w:t>
      </w:r>
    </w:p>
    <w:p>
      <w:pPr>
        <w:pStyle w:val="TextBody"/>
        <w:bidi w:val="0"/>
        <w:spacing w:lineRule="auto" w:line="288" w:before="0" w:after="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Scott Smith</w:t>
      </w:r>
    </w:p>
    <w:p>
      <w:pPr>
        <w:pStyle w:val="TextBody"/>
        <w:bidi w:val="0"/>
        <w:spacing w:lineRule="auto" w:line="288" w:before="0" w:after="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408-724-1498</w:t>
      </w:r>
    </w:p>
    <w:p>
      <w:pPr>
        <w:pStyle w:val="TextBody"/>
        <w:bidi w:val="0"/>
        <w:spacing w:lineRule="auto" w:line="288" w:before="0" w:after="36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IR@SoundHound.com</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Media:</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Fiona McEvoy</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415-610-6590</w:t>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PR@SoundHound.com</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3123"/>
        <w:gridCol w:w="2531"/>
        <w:gridCol w:w="2524"/>
        <w:gridCol w:w="172"/>
        <w:gridCol w:w="545"/>
        <w:gridCol w:w="112"/>
        <w:gridCol w:w="109"/>
        <w:gridCol w:w="109"/>
        <w:gridCol w:w="109"/>
        <w:gridCol w:w="169"/>
        <w:gridCol w:w="539"/>
        <w:gridCol w:w="163"/>
      </w:tblGrid>
      <w:tr>
        <w:trPr/>
        <w:tc>
          <w:tcPr>
            <w:tcW w:w="3123" w:type="dxa"/>
            <w:tcBorders/>
            <w:vAlign w:val="center"/>
          </w:tcPr>
          <w:p>
            <w:pPr>
              <w:pStyle w:val="TableContents"/>
              <w:bidi w:val="0"/>
              <w:spacing w:before="0" w:after="283"/>
              <w:jc w:val="left"/>
              <w:rPr>
                <w:sz w:val="4"/>
                <w:szCs w:val="4"/>
              </w:rPr>
            </w:pPr>
            <w:r>
              <w:rPr>
                <w:sz w:val="4"/>
                <w:szCs w:val="4"/>
              </w:rPr>
            </w:r>
          </w:p>
        </w:tc>
        <w:tc>
          <w:tcPr>
            <w:tcW w:w="2531" w:type="dxa"/>
            <w:tcBorders/>
            <w:vAlign w:val="center"/>
          </w:tcPr>
          <w:p>
            <w:pPr>
              <w:pStyle w:val="TableContents"/>
              <w:bidi w:val="0"/>
              <w:spacing w:before="0" w:after="283"/>
              <w:jc w:val="left"/>
              <w:rPr>
                <w:sz w:val="4"/>
                <w:szCs w:val="4"/>
              </w:rPr>
            </w:pPr>
            <w:r>
              <w:rPr>
                <w:sz w:val="4"/>
                <w:szCs w:val="4"/>
              </w:rPr>
            </w:r>
          </w:p>
        </w:tc>
        <w:tc>
          <w:tcPr>
            <w:tcW w:w="252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December 31,</w:t>
              <w:br/>
              <w:t>2024</w:t>
            </w:r>
          </w:p>
        </w:tc>
      </w:tr>
      <w:tr>
        <w:trPr/>
        <w:tc>
          <w:tcPr>
            <w:tcW w:w="8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 xml:space="preserve">(Unaudited)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ASSETS</w:t>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Current assets:</w:t>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Cash and cash equivalents</w:t>
            </w:r>
          </w:p>
        </w:tc>
        <w:tc>
          <w:tcPr>
            <w:tcW w:w="1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268,936 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198,240 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2"/>
              </w:rPr>
              <w:t>Accounts receivable, net of allowances of $3,466 and $726 as of September 30, 2025 and December 31, 2024, respectively</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22,417 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23,159 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Contract assets and unbilled receivable, net</w:t>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32,178 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26,645 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Other current assets</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11,835 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7,476 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Total current assets</w:t>
            </w:r>
          </w:p>
        </w:tc>
        <w:tc>
          <w:tcPr>
            <w:tcW w:w="7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335,366 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255,520 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Restricted cash equivalents, non-current</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936 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676 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Right-of-use assets</w:t>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4,412 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4,692 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Property and equipment, net</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2,726 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1,239 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Goodwill</w:t>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122,277 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101,704 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Intangible assets, net</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191,066 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174,943 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Deferred tax asset</w:t>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Contract assets and unbilled receivable, non-current, net</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29,163 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12,879 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Other non-current assets</w:t>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16,267 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2,296 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Total assets</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702,217 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553,953 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LIABILITIES AND STOCKHOLDERS’ EQUITY</w:t>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Current liabilities:</w:t>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Accounts payable</w:t>
            </w:r>
          </w:p>
        </w:tc>
        <w:tc>
          <w:tcPr>
            <w:tcW w:w="1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6,864 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5,559 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Accrued liabilities</w:t>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28,141 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26,291 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Operating lease liabilities</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2,012 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1,898 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Finance lease liabilities</w:t>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Income tax liability</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2,438 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2,750 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Deferred revenue</w:t>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20,702 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23,876 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Contingent acquisition liabilities</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3,400 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Other current liabilities</w:t>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1,248 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7,319 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Total current liabilities</w:t>
            </w:r>
          </w:p>
        </w:tc>
        <w:tc>
          <w:tcPr>
            <w:tcW w:w="7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65,132 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67,742 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Operating lease liabilities, net of current portion</w:t>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2,482 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2,403 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Deferred revenue, net of current portion</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7,748 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6,862 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Contingent acquisition liabilities, net of current portion</w:t>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214,858 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286,898 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Income tax liability, net of current portion</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3,124 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3,075 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Other non-current liabilities</w:t>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9,637 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4,320 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Total liabilities</w:t>
            </w:r>
          </w:p>
        </w:tc>
        <w:tc>
          <w:tcPr>
            <w:tcW w:w="7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302,981 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371,300 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Commitments and contingencies</w:t>
            </w:r>
          </w:p>
        </w:tc>
        <w:tc>
          <w:tcPr>
            <w:tcW w:w="8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Stockholders’ equity:</w:t>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12"/>
              </w:rPr>
            </w:pPr>
            <w:r>
              <w:rPr>
                <w:rFonts w:ascii="Times New Roman;serif" w:hAnsi="Times New Roman;serif"/>
                <w:b w:val="false"/>
                <w:color w:val="000000"/>
                <w:sz w:val="12"/>
              </w:rPr>
              <w:t>Series A Preferred Stock, $0.0001 par value; 1,000,000 shares authorized; 0 and 0 shares issued and outstanding, aggregate liquidation preference of $0 and $0 as of September 30, 2025 and December 31, 2024, respectively</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12"/>
              </w:rPr>
            </w:pPr>
            <w:r>
              <w:rPr>
                <w:rFonts w:ascii="Times New Roman;serif" w:hAnsi="Times New Roman;serif"/>
                <w:b w:val="false"/>
                <w:color w:val="000000"/>
                <w:sz w:val="12"/>
              </w:rPr>
              <w:t>Class A Common Stock, $0.0001 par value; 755,000,000 and 455,000,000 shares authorized as of September 30, 2025 and December 31, 2024, respectively; 386,300,291 and 361,096,457 shares issued and outstanding as of September 30, 2025 and December 31, 2024, respectively</w:t>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2"/>
              </w:rPr>
            </w:pPr>
            <w:r>
              <w:rPr>
                <w:rFonts w:ascii="Times New Roman;serif" w:hAnsi="Times New Roman;serif"/>
                <w:b w:val="false"/>
                <w:color w:val="000000"/>
                <w:sz w:val="12"/>
              </w:rPr>
              <w:t>Class B Common Stock, $0.0001 par value; 44,000,000 shares authorized; 32,535,408 and 32,535,408 shares issued and outstanding as of September 30, 2025 and December 31, 2024, respectively</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Additional paid-in capital</w:t>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1,396,094 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1,125,470 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Accumulated deficit</w:t>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(997,123)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(943,060)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 xml:space="preserve">Accumulated other comprehensive income </w:t>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205 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Total stockholders’ equity</w:t>
            </w:r>
          </w:p>
        </w:tc>
        <w:tc>
          <w:tcPr>
            <w:tcW w:w="7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399,236 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182,653 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Total liabilities and stockholders’ equity</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702,217 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553,953 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 except share and per share data)</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713"/>
        <w:gridCol w:w="1402"/>
        <w:gridCol w:w="1420"/>
        <w:gridCol w:w="211"/>
        <w:gridCol w:w="891"/>
        <w:gridCol w:w="109"/>
        <w:gridCol w:w="109"/>
        <w:gridCol w:w="109"/>
        <w:gridCol w:w="109"/>
        <w:gridCol w:w="227"/>
        <w:gridCol w:w="795"/>
        <w:gridCol w:w="119"/>
        <w:gridCol w:w="109"/>
        <w:gridCol w:w="109"/>
        <w:gridCol w:w="109"/>
        <w:gridCol w:w="211"/>
        <w:gridCol w:w="826"/>
        <w:gridCol w:w="109"/>
        <w:gridCol w:w="109"/>
        <w:gridCol w:w="109"/>
        <w:gridCol w:w="109"/>
        <w:gridCol w:w="227"/>
        <w:gridCol w:w="795"/>
        <w:gridCol w:w="169"/>
      </w:tblGrid>
      <w:tr>
        <w:trPr/>
        <w:tc>
          <w:tcPr>
            <w:tcW w:w="1713"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4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50,150 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50,161 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36,833 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acquisition liabilities</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58,861 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134,431 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(33,767)</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(84,281)</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early extinguishment of debt</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(15,587)</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(17,359)</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(32,242)</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(101,640)</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(21,751)</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(92,082)</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dividends attributable to Series A Preferred Stock</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SoundHound common shareholders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(21,751)</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(92,498)</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on investments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(21,694)</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(92,019)</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w:t>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1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w:t>
            </w:r>
          </w:p>
        </w:tc>
        <w:tc>
          <w:tcPr>
            <w:tcW w:w="16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w:t>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409,783,470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360,385,812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401,325,300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326,166,633</w:t>
            </w:r>
          </w:p>
        </w:tc>
      </w:tr>
      <w:tr>
        <w:trPr/>
        <w:tc>
          <w:tcPr>
            <w:tcW w:w="4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211"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411,702,440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360,385,812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403,252,575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326,166,633</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83"/>
        <w:gridCol w:w="2424"/>
        <w:gridCol w:w="2443"/>
        <w:gridCol w:w="196"/>
        <w:gridCol w:w="736"/>
        <w:gridCol w:w="109"/>
        <w:gridCol w:w="109"/>
        <w:gridCol w:w="109"/>
        <w:gridCol w:w="109"/>
        <w:gridCol w:w="196"/>
        <w:gridCol w:w="736"/>
        <w:gridCol w:w="155"/>
      </w:tblGrid>
      <w:tr>
        <w:trPr/>
        <w:tc>
          <w:tcPr>
            <w:tcW w:w="2883"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7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used in operating activities: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(92,082)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loss to net cash used in operating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debt issuance cost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disposal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lease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capitalized commissions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gain/loss from remeasurement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contingent acquisition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(78,496)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derivative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early extinguishment of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(11,494)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(7,018)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(8,993)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(76,336)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(75,755)</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used in investing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Capitalized software development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related to acquisitions, net of cash acquired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(11,732)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(12,292)</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provided by 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sales of Class A common stock under the Sales Agreement, Equity Distribution Agreement, and Second Equity Distribution Agreement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287,271 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exercise of stock options and employee stock purchase plan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warrants exercised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Payment of financing costs associated with the Sales Agreement, Equity Distribution Agreement, and </w:t>
            </w:r>
            <w:r>
              <w:rPr>
                <w:rFonts w:ascii="Times New Roman;serif" w:hAnsi="Times New Roman;serif"/>
                <w:b w:val="false"/>
                <w:color w:val="000000"/>
                <w:sz w:val="16"/>
                <w:shd w:fill="FFFFFF" w:val="clear"/>
              </w:rPr>
              <w:t>Second Equity Distribution Agreement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(7,182)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on Term Loan and Amelia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(175,602)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to settle contingent holdback liabilities from SYNQ3 acquisition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on finance leases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204,514 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115,445 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Effects of exchange rate changes on cash</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cash, cash equivalents, and restricted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70,956 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27,382 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equivalents,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109,035 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equivalents,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269,872 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136,417 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808"/>
        <w:gridCol w:w="2464"/>
        <w:gridCol w:w="2477"/>
        <w:gridCol w:w="196"/>
        <w:gridCol w:w="736"/>
        <w:gridCol w:w="109"/>
        <w:gridCol w:w="109"/>
        <w:gridCol w:w="109"/>
        <w:gridCol w:w="109"/>
        <w:gridCol w:w="196"/>
        <w:gridCol w:w="736"/>
        <w:gridCol w:w="156"/>
      </w:tblGrid>
      <w:tr>
        <w:trPr/>
        <w:tc>
          <w:tcPr>
            <w:tcW w:w="2808" w:type="dxa"/>
            <w:tcBorders/>
            <w:vAlign w:val="center"/>
          </w:tcPr>
          <w:p>
            <w:pPr>
              <w:pStyle w:val="TableContents"/>
              <w:bidi w:val="0"/>
              <w:spacing w:before="0" w:after="283"/>
              <w:jc w:val="left"/>
              <w:rPr>
                <w:sz w:val="4"/>
                <w:szCs w:val="4"/>
              </w:rPr>
            </w:pPr>
            <w:r>
              <w:rPr>
                <w:sz w:val="4"/>
                <w:szCs w:val="4"/>
              </w:rPr>
            </w:r>
          </w:p>
        </w:tc>
        <w:tc>
          <w:tcPr>
            <w:tcW w:w="2464" w:type="dxa"/>
            <w:tcBorders/>
            <w:vAlign w:val="center"/>
          </w:tcPr>
          <w:p>
            <w:pPr>
              <w:pStyle w:val="TableContents"/>
              <w:bidi w:val="0"/>
              <w:spacing w:before="0" w:after="283"/>
              <w:jc w:val="left"/>
              <w:rPr>
                <w:sz w:val="4"/>
                <w:szCs w:val="4"/>
              </w:rPr>
            </w:pPr>
            <w:r>
              <w:rPr>
                <w:sz w:val="4"/>
                <w:szCs w:val="4"/>
              </w:rPr>
            </w:r>
          </w:p>
        </w:tc>
        <w:tc>
          <w:tcPr>
            <w:tcW w:w="24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Reconciliation to amounts on the condensed consolidated balance sheets: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135,606 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portion of restricted cash equivalents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8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and restricted cash equivalents shown in the condensed consolidated statements of cash flows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269,872 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136,417 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disclosures of cash flow information: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1,677 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investing and 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Conversion of Series A Preferred Stock to Class A common stock</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Class A Common Stock to settle obligations under Amelia Debt</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11,817 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Class A Common Stock to settle contingent holdback consideration of SYNQ3 acquisition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offering costs reclassified to additional paid-in capital</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acquired under accrued liabilities</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of Class A common stock and deferred equity consideration issued to acquire SYNQ3</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9,687 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of contingent earnout consideration under SYNQ3 and Amelia acquisitions</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73,236 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of contingent holdback consideration under SYNQ3 acquisition</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of deferred cash consideration under other acquisition</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of deferred cash consideration under Interactions acquisition</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of contingent earnout consideration under Interactions acquisition</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included in capitalized software development costs</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4271</Words>
  <Characters>25372</Characters>
  <CharactersWithSpaces>29082</CharactersWithSpaces>
  <Paragraphs>906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